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CA0AE" w14:textId="2B641040" w:rsidR="6EB2D883" w:rsidRDefault="6EB2D883">
      <w:pPr>
        <w:sectPr w:rsidR="6EB2D883" w:rsidSect="00360B78">
          <w:headerReference w:type="default" r:id="rId11"/>
          <w:footerReference w:type="default" r:id="rId12"/>
          <w:headerReference w:type="first" r:id="rId13"/>
          <w:footerReference w:type="first" r:id="rId14"/>
          <w:type w:val="continuous"/>
          <w:pgSz w:w="12240" w:h="15840"/>
          <w:pgMar w:top="1440" w:right="1440" w:bottom="1440" w:left="1440" w:header="720" w:footer="432" w:gutter="0"/>
          <w:cols w:space="720"/>
          <w:formProt w:val="0"/>
          <w:docGrid w:linePitch="360"/>
        </w:sectPr>
      </w:pPr>
    </w:p>
    <w:p w14:paraId="6B4AAD3F" w14:textId="46A1BB3D" w:rsidR="00862194" w:rsidRPr="00B75CB2" w:rsidRDefault="00756A10" w:rsidP="00862194">
      <w:pPr>
        <w:spacing w:after="0" w:line="240" w:lineRule="auto"/>
        <w:jc w:val="center"/>
        <w:rPr>
          <w:rFonts w:ascii="Baskerville Old Face" w:hAnsi="Baskerville Old Face" w:cs="Arial"/>
          <w:b/>
          <w:color w:val="003057"/>
          <w:sz w:val="44"/>
        </w:rPr>
      </w:pPr>
      <w:r>
        <w:rPr>
          <w:rFonts w:ascii="Baskerville Old Face" w:hAnsi="Baskerville Old Face" w:cs="Arial"/>
          <w:b/>
          <w:color w:val="003057"/>
          <w:sz w:val="44"/>
        </w:rPr>
        <w:t>Merrilton Bank Case Study</w:t>
      </w:r>
    </w:p>
    <w:p w14:paraId="0A37501D" w14:textId="77777777" w:rsidR="00B75CB2" w:rsidRPr="00095BF9" w:rsidRDefault="00B75CB2" w:rsidP="00095BF9">
      <w:pPr>
        <w:spacing w:after="0" w:line="240" w:lineRule="auto"/>
        <w:rPr>
          <w:rFonts w:ascii="Arial" w:hAnsi="Arial" w:cs="Arial"/>
          <w:sz w:val="20"/>
          <w:szCs w:val="20"/>
        </w:rPr>
      </w:pPr>
    </w:p>
    <w:p w14:paraId="18D3EEF2" w14:textId="473D3725" w:rsidR="00322F5A" w:rsidRPr="00FE61D6" w:rsidRDefault="00322F5A" w:rsidP="00756A10">
      <w:pPr>
        <w:spacing w:after="0" w:line="240" w:lineRule="auto"/>
        <w:rPr>
          <w:rFonts w:ascii="Verdana" w:eastAsia="Times New Roman" w:hAnsi="Verdana" w:cs="Times New Roman"/>
          <w:color w:val="0E101A"/>
          <w:sz w:val="20"/>
          <w:szCs w:val="20"/>
          <w:u w:val="single"/>
        </w:rPr>
      </w:pPr>
      <w:r w:rsidRPr="00FE61D6">
        <w:rPr>
          <w:rFonts w:ascii="Verdana" w:eastAsia="Times New Roman" w:hAnsi="Verdana" w:cs="Times New Roman"/>
          <w:color w:val="0E101A"/>
          <w:sz w:val="20"/>
          <w:szCs w:val="20"/>
          <w:u w:val="single"/>
        </w:rPr>
        <w:t>Overview</w:t>
      </w:r>
    </w:p>
    <w:p w14:paraId="219B5031" w14:textId="77777777" w:rsidR="00322F5A" w:rsidRDefault="00322F5A" w:rsidP="00756A10">
      <w:pPr>
        <w:spacing w:after="0" w:line="240" w:lineRule="auto"/>
        <w:rPr>
          <w:rFonts w:ascii="Verdana" w:eastAsia="Times New Roman" w:hAnsi="Verdana" w:cs="Times New Roman"/>
          <w:color w:val="0E101A"/>
          <w:sz w:val="20"/>
          <w:szCs w:val="20"/>
        </w:rPr>
      </w:pPr>
    </w:p>
    <w:p w14:paraId="1702B335" w14:textId="66854455" w:rsidR="000937DA" w:rsidRPr="00756A10" w:rsidRDefault="00756A10" w:rsidP="00756A10">
      <w:p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 xml:space="preserve">Merrilton Bank provides lending and insurance services to approximately 25,000 commercial and individual customers. Its main mission is to </w:t>
      </w:r>
      <w:r w:rsidR="00F33CD9">
        <w:rPr>
          <w:rFonts w:ascii="Verdana" w:eastAsia="Times New Roman" w:hAnsi="Verdana" w:cs="Times New Roman"/>
          <w:color w:val="0E101A"/>
          <w:sz w:val="20"/>
          <w:szCs w:val="20"/>
        </w:rPr>
        <w:t>provide</w:t>
      </w:r>
      <w:r w:rsidR="00F33CD9" w:rsidRPr="00756A10">
        <w:rPr>
          <w:rFonts w:ascii="Verdana" w:eastAsia="Times New Roman" w:hAnsi="Verdana" w:cs="Times New Roman"/>
          <w:color w:val="0E101A"/>
          <w:sz w:val="20"/>
          <w:szCs w:val="20"/>
        </w:rPr>
        <w:t xml:space="preserve"> </w:t>
      </w:r>
      <w:r w:rsidRPr="00756A10">
        <w:rPr>
          <w:rFonts w:ascii="Verdana" w:eastAsia="Times New Roman" w:hAnsi="Verdana" w:cs="Times New Roman"/>
          <w:color w:val="0E101A"/>
          <w:sz w:val="20"/>
          <w:szCs w:val="20"/>
        </w:rPr>
        <w:t>a wide spectrum of financial products tailored to the needs of diverse populations and small businesses. The bank was established in 1972 and has accumulated various data</w:t>
      </w:r>
      <w:r w:rsidR="00864786">
        <w:rPr>
          <w:rFonts w:ascii="Verdana" w:eastAsia="Times New Roman" w:hAnsi="Verdana" w:cs="Times New Roman"/>
          <w:color w:val="0E101A"/>
          <w:sz w:val="20"/>
          <w:szCs w:val="20"/>
        </w:rPr>
        <w:t xml:space="preserve"> </w:t>
      </w:r>
      <w:r w:rsidRPr="00756A10">
        <w:rPr>
          <w:rFonts w:ascii="Verdana" w:eastAsia="Times New Roman" w:hAnsi="Verdana" w:cs="Times New Roman"/>
          <w:color w:val="0E101A"/>
          <w:sz w:val="20"/>
          <w:szCs w:val="20"/>
        </w:rPr>
        <w:t xml:space="preserve">sets on the lending, repayment, and fraudulent behaviors of customers. These data have been used to develop various risk models assessing the likelihood of loan repayment, expected loss, and risks related to the company’s products. The credit assessment, risk prediction, and fraud detection models are valuable data assets of the organization that are used to automate parts </w:t>
      </w:r>
      <w:r w:rsidR="00130FE3">
        <w:rPr>
          <w:rFonts w:ascii="Verdana" w:eastAsia="Times New Roman" w:hAnsi="Verdana" w:cs="Times New Roman"/>
          <w:color w:val="0E101A"/>
          <w:sz w:val="20"/>
          <w:szCs w:val="20"/>
        </w:rPr>
        <w:t xml:space="preserve">of </w:t>
      </w:r>
      <w:r w:rsidRPr="00756A10">
        <w:rPr>
          <w:rFonts w:ascii="Verdana" w:eastAsia="Times New Roman" w:hAnsi="Verdana" w:cs="Times New Roman"/>
          <w:color w:val="0E101A"/>
          <w:sz w:val="20"/>
          <w:szCs w:val="20"/>
        </w:rPr>
        <w:t xml:space="preserve">or entire business processes. These models comprise prominent </w:t>
      </w:r>
      <w:r w:rsidR="00F33CD9">
        <w:rPr>
          <w:rFonts w:ascii="Verdana" w:eastAsia="Times New Roman" w:hAnsi="Verdana" w:cs="Times New Roman"/>
          <w:color w:val="0E101A"/>
          <w:sz w:val="20"/>
          <w:szCs w:val="20"/>
        </w:rPr>
        <w:t xml:space="preserve">data-driven </w:t>
      </w:r>
      <w:r w:rsidRPr="00756A10">
        <w:rPr>
          <w:rFonts w:ascii="Verdana" w:eastAsia="Times New Roman" w:hAnsi="Verdana" w:cs="Times New Roman"/>
          <w:color w:val="0E101A"/>
          <w:sz w:val="20"/>
          <w:szCs w:val="20"/>
        </w:rPr>
        <w:t xml:space="preserve">decision </w:t>
      </w:r>
      <w:r w:rsidR="00F33CD9">
        <w:rPr>
          <w:rFonts w:ascii="Verdana" w:eastAsia="Times New Roman" w:hAnsi="Verdana" w:cs="Times New Roman"/>
          <w:color w:val="0E101A"/>
          <w:sz w:val="20"/>
          <w:szCs w:val="20"/>
        </w:rPr>
        <w:t xml:space="preserve">tools </w:t>
      </w:r>
      <w:r w:rsidRPr="00756A10">
        <w:rPr>
          <w:rFonts w:ascii="Verdana" w:eastAsia="Times New Roman" w:hAnsi="Verdana" w:cs="Times New Roman"/>
          <w:color w:val="0E101A"/>
          <w:sz w:val="20"/>
          <w:szCs w:val="20"/>
        </w:rPr>
        <w:t>behind the cloud-native mobile app that Merrilton is developing to provide its services to all customers anywhere and anytime.</w:t>
      </w:r>
    </w:p>
    <w:p w14:paraId="2C600AEB" w14:textId="77777777" w:rsidR="00756A10" w:rsidRPr="00756A10" w:rsidRDefault="00756A10" w:rsidP="00756A10">
      <w:pPr>
        <w:spacing w:after="0" w:line="240" w:lineRule="auto"/>
        <w:rPr>
          <w:rFonts w:ascii="Verdana" w:eastAsia="Times New Roman" w:hAnsi="Verdana" w:cs="Times New Roman"/>
          <w:color w:val="0E101A"/>
          <w:sz w:val="20"/>
          <w:szCs w:val="20"/>
        </w:rPr>
      </w:pPr>
    </w:p>
    <w:p w14:paraId="7B8FAD5D" w14:textId="621B60A4" w:rsidR="00756A10" w:rsidRPr="00756A10" w:rsidRDefault="00756A10" w:rsidP="00756A10">
      <w:p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 xml:space="preserve">Before the statistical scoring models </w:t>
      </w:r>
      <w:r w:rsidR="000937DA">
        <w:rPr>
          <w:rFonts w:ascii="Verdana" w:eastAsia="Times New Roman" w:hAnsi="Verdana" w:cs="Times New Roman"/>
          <w:color w:val="0E101A"/>
          <w:sz w:val="20"/>
          <w:szCs w:val="20"/>
        </w:rPr>
        <w:t xml:space="preserve">were </w:t>
      </w:r>
      <w:r w:rsidRPr="00756A10">
        <w:rPr>
          <w:rFonts w:ascii="Verdana" w:eastAsia="Times New Roman" w:hAnsi="Verdana" w:cs="Times New Roman"/>
          <w:color w:val="0E101A"/>
          <w:sz w:val="20"/>
          <w:szCs w:val="20"/>
        </w:rPr>
        <w:t xml:space="preserve">used for automatic loan decisioning, the bank used subjective scoring that relied on the input of experts. </w:t>
      </w:r>
      <w:r w:rsidR="00932A87">
        <w:rPr>
          <w:rFonts w:ascii="Verdana" w:eastAsia="Times New Roman" w:hAnsi="Verdana" w:cs="Times New Roman"/>
          <w:color w:val="0E101A"/>
          <w:sz w:val="20"/>
          <w:szCs w:val="20"/>
        </w:rPr>
        <w:t>When the</w:t>
      </w:r>
      <w:r w:rsidRPr="00756A10">
        <w:rPr>
          <w:rFonts w:ascii="Verdana" w:eastAsia="Times New Roman" w:hAnsi="Verdana" w:cs="Times New Roman"/>
          <w:color w:val="0E101A"/>
          <w:sz w:val="20"/>
          <w:szCs w:val="20"/>
        </w:rPr>
        <w:t xml:space="preserve"> first predictive models were built, experts were also used to train these machine</w:t>
      </w:r>
      <w:r w:rsidR="000937DA">
        <w:rPr>
          <w:rFonts w:ascii="Verdana" w:eastAsia="Times New Roman" w:hAnsi="Verdana" w:cs="Times New Roman"/>
          <w:color w:val="0E101A"/>
          <w:sz w:val="20"/>
          <w:szCs w:val="20"/>
        </w:rPr>
        <w:t>-</w:t>
      </w:r>
      <w:r w:rsidRPr="00756A10">
        <w:rPr>
          <w:rFonts w:ascii="Verdana" w:eastAsia="Times New Roman" w:hAnsi="Verdana" w:cs="Times New Roman"/>
          <w:color w:val="0E101A"/>
          <w:sz w:val="20"/>
          <w:szCs w:val="20"/>
        </w:rPr>
        <w:t>learning-based models. The current automated application scoring models are deemed empirical and statistically valid. They have undergone rigorous statistical analyses that derive empirical ways to evaluate the creditworthiness of consumers using data from applicants within a reasonable preceding period</w:t>
      </w:r>
      <w:r w:rsidR="002250F8">
        <w:rPr>
          <w:rFonts w:ascii="Verdana" w:eastAsia="Times New Roman" w:hAnsi="Verdana" w:cs="Times New Roman"/>
          <w:color w:val="0E101A"/>
          <w:sz w:val="20"/>
          <w:szCs w:val="20"/>
        </w:rPr>
        <w:t>,</w:t>
      </w:r>
      <w:r w:rsidRPr="00756A10">
        <w:rPr>
          <w:rFonts w:ascii="Verdana" w:eastAsia="Times New Roman" w:hAnsi="Verdana" w:cs="Times New Roman"/>
          <w:color w:val="0E101A"/>
          <w:sz w:val="20"/>
          <w:szCs w:val="20"/>
        </w:rPr>
        <w:t xml:space="preserve"> and </w:t>
      </w:r>
      <w:r w:rsidR="002250F8">
        <w:rPr>
          <w:rFonts w:ascii="Verdana" w:eastAsia="Times New Roman" w:hAnsi="Verdana" w:cs="Times New Roman"/>
          <w:color w:val="0E101A"/>
          <w:sz w:val="20"/>
          <w:szCs w:val="20"/>
        </w:rPr>
        <w:t xml:space="preserve">the models </w:t>
      </w:r>
      <w:r w:rsidRPr="00756A10">
        <w:rPr>
          <w:rFonts w:ascii="Verdana" w:eastAsia="Times New Roman" w:hAnsi="Verdana" w:cs="Times New Roman"/>
          <w:color w:val="0E101A"/>
          <w:sz w:val="20"/>
          <w:szCs w:val="20"/>
        </w:rPr>
        <w:t>have been developed and validated based on generally accepted statistical practices and methodologies. All models that are in use are reevaluated for statistical soundness on a periodic basis and adjusted, as necessary, to maintain or increase their predictive power.</w:t>
      </w:r>
    </w:p>
    <w:p w14:paraId="51FABA60" w14:textId="77777777" w:rsidR="00756A10" w:rsidRPr="00756A10" w:rsidRDefault="00756A10" w:rsidP="00756A10">
      <w:pPr>
        <w:spacing w:after="0" w:line="240" w:lineRule="auto"/>
        <w:rPr>
          <w:rFonts w:ascii="Verdana" w:eastAsia="Times New Roman" w:hAnsi="Verdana" w:cs="Times New Roman"/>
          <w:color w:val="0E101A"/>
          <w:sz w:val="20"/>
          <w:szCs w:val="20"/>
        </w:rPr>
      </w:pPr>
    </w:p>
    <w:p w14:paraId="1ACCDCCE" w14:textId="660420C7" w:rsidR="00756A10" w:rsidRPr="00756A10" w:rsidRDefault="00756A10" w:rsidP="00756A10">
      <w:p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The application scoring models focus on selecting borrowers for approval from a pool of applicants. The bank has found that the automated application scoring solution has several benefits, including operational efficiency gains, improved accuracy of decisions, the establishment of an objective and standardized data-driven decision-making culture, and customer satisfaction improvement, to name a few</w:t>
      </w:r>
      <w:r w:rsidR="005B257E">
        <w:rPr>
          <w:rFonts w:ascii="Verdana" w:eastAsia="Times New Roman" w:hAnsi="Verdana" w:cs="Times New Roman"/>
          <w:color w:val="0E101A"/>
          <w:sz w:val="20"/>
          <w:szCs w:val="20"/>
        </w:rPr>
        <w:t xml:space="preserve">. </w:t>
      </w:r>
    </w:p>
    <w:p w14:paraId="403F7BD7" w14:textId="77777777" w:rsidR="00756A10" w:rsidRPr="00756A10" w:rsidRDefault="00756A10" w:rsidP="00756A10">
      <w:pPr>
        <w:spacing w:after="0" w:line="240" w:lineRule="auto"/>
        <w:rPr>
          <w:rFonts w:ascii="Verdana" w:eastAsia="Times New Roman" w:hAnsi="Verdana" w:cs="Times New Roman"/>
          <w:color w:val="0E101A"/>
          <w:sz w:val="20"/>
          <w:szCs w:val="20"/>
        </w:rPr>
      </w:pPr>
    </w:p>
    <w:p w14:paraId="5E7EB900" w14:textId="3605C5CA" w:rsidR="00756A10" w:rsidRPr="00756A10" w:rsidRDefault="00756A10" w:rsidP="00756A10">
      <w:p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 xml:space="preserve">The implementation of the automated application scoring models was not without </w:t>
      </w:r>
      <w:r w:rsidR="00F33CD9">
        <w:rPr>
          <w:rFonts w:ascii="Verdana" w:eastAsia="Times New Roman" w:hAnsi="Verdana" w:cs="Times New Roman"/>
          <w:color w:val="0E101A"/>
          <w:sz w:val="20"/>
          <w:szCs w:val="20"/>
        </w:rPr>
        <w:t>challenges</w:t>
      </w:r>
      <w:r w:rsidRPr="00756A10">
        <w:rPr>
          <w:rFonts w:ascii="Verdana" w:eastAsia="Times New Roman" w:hAnsi="Verdana" w:cs="Times New Roman"/>
          <w:color w:val="0E101A"/>
          <w:sz w:val="20"/>
          <w:szCs w:val="20"/>
        </w:rPr>
        <w:t xml:space="preserve">. The process has been a costly and complicated undertaking and initially required data scientists </w:t>
      </w:r>
      <w:r w:rsidR="0054594A">
        <w:rPr>
          <w:rFonts w:ascii="Verdana" w:eastAsia="Times New Roman" w:hAnsi="Verdana" w:cs="Times New Roman"/>
          <w:color w:val="0E101A"/>
          <w:sz w:val="20"/>
          <w:szCs w:val="20"/>
        </w:rPr>
        <w:t xml:space="preserve">with specific </w:t>
      </w:r>
      <w:r w:rsidR="0054594A" w:rsidRPr="00756A10">
        <w:rPr>
          <w:rFonts w:ascii="Verdana" w:eastAsia="Times New Roman" w:hAnsi="Verdana" w:cs="Times New Roman"/>
          <w:color w:val="0E101A"/>
          <w:sz w:val="20"/>
          <w:szCs w:val="20"/>
        </w:rPr>
        <w:t>technical skills</w:t>
      </w:r>
      <w:r w:rsidR="0054594A">
        <w:rPr>
          <w:rFonts w:ascii="Verdana" w:eastAsia="Times New Roman" w:hAnsi="Verdana" w:cs="Times New Roman"/>
          <w:color w:val="0E101A"/>
          <w:sz w:val="20"/>
          <w:szCs w:val="20"/>
        </w:rPr>
        <w:t xml:space="preserve">, who </w:t>
      </w:r>
      <w:r w:rsidRPr="00756A10">
        <w:rPr>
          <w:rFonts w:ascii="Verdana" w:eastAsia="Times New Roman" w:hAnsi="Verdana" w:cs="Times New Roman"/>
          <w:color w:val="0E101A"/>
          <w:sz w:val="20"/>
          <w:szCs w:val="20"/>
        </w:rPr>
        <w:t xml:space="preserve">were not easy to find. The bank needed to revisit how its data was stored and managed to support the models under development. The model’s prediction capabilities were based on historical data with the </w:t>
      </w:r>
      <w:r w:rsidR="0054594A">
        <w:rPr>
          <w:rFonts w:ascii="Verdana" w:eastAsia="Times New Roman" w:hAnsi="Verdana" w:cs="Times New Roman"/>
          <w:color w:val="0E101A"/>
          <w:sz w:val="20"/>
          <w:szCs w:val="20"/>
        </w:rPr>
        <w:t xml:space="preserve">stipulation </w:t>
      </w:r>
      <w:r w:rsidRPr="00756A10">
        <w:rPr>
          <w:rFonts w:ascii="Verdana" w:eastAsia="Times New Roman" w:hAnsi="Verdana" w:cs="Times New Roman"/>
          <w:color w:val="0E101A"/>
          <w:sz w:val="20"/>
          <w:szCs w:val="20"/>
        </w:rPr>
        <w:t>that</w:t>
      </w:r>
      <w:r w:rsidR="00595021">
        <w:rPr>
          <w:rFonts w:ascii="Verdana" w:eastAsia="Times New Roman" w:hAnsi="Verdana" w:cs="Times New Roman"/>
          <w:color w:val="0E101A"/>
          <w:sz w:val="20"/>
          <w:szCs w:val="20"/>
        </w:rPr>
        <w:t xml:space="preserve"> the</w:t>
      </w:r>
      <w:r w:rsidRPr="00756A10">
        <w:rPr>
          <w:rFonts w:ascii="Verdana" w:eastAsia="Times New Roman" w:hAnsi="Verdana" w:cs="Times New Roman"/>
          <w:color w:val="0E101A"/>
          <w:sz w:val="20"/>
          <w:szCs w:val="20"/>
        </w:rPr>
        <w:t xml:space="preserve"> future will </w:t>
      </w:r>
      <w:r w:rsidR="0054594A">
        <w:rPr>
          <w:rFonts w:ascii="Verdana" w:eastAsia="Times New Roman" w:hAnsi="Verdana" w:cs="Times New Roman"/>
          <w:color w:val="0E101A"/>
          <w:sz w:val="20"/>
          <w:szCs w:val="20"/>
        </w:rPr>
        <w:t xml:space="preserve">be based on and </w:t>
      </w:r>
      <w:r w:rsidR="00595021">
        <w:rPr>
          <w:rFonts w:ascii="Verdana" w:eastAsia="Times New Roman" w:hAnsi="Verdana" w:cs="Times New Roman"/>
          <w:color w:val="0E101A"/>
          <w:sz w:val="20"/>
          <w:szCs w:val="20"/>
        </w:rPr>
        <w:t xml:space="preserve">will </w:t>
      </w:r>
      <w:r w:rsidRPr="00756A10">
        <w:rPr>
          <w:rFonts w:ascii="Verdana" w:eastAsia="Times New Roman" w:hAnsi="Verdana" w:cs="Times New Roman"/>
          <w:color w:val="0E101A"/>
          <w:sz w:val="20"/>
          <w:szCs w:val="20"/>
        </w:rPr>
        <w:t>look like the past.</w:t>
      </w:r>
    </w:p>
    <w:p w14:paraId="3E8C234B" w14:textId="77777777" w:rsidR="00756A10" w:rsidRPr="00756A10" w:rsidRDefault="00756A10" w:rsidP="00756A10">
      <w:pPr>
        <w:spacing w:after="0" w:line="240" w:lineRule="auto"/>
        <w:rPr>
          <w:rFonts w:ascii="Verdana" w:eastAsia="Times New Roman" w:hAnsi="Verdana" w:cs="Times New Roman"/>
          <w:color w:val="0E101A"/>
          <w:sz w:val="20"/>
          <w:szCs w:val="20"/>
        </w:rPr>
      </w:pPr>
    </w:p>
    <w:p w14:paraId="021AEF83" w14:textId="4F574F71" w:rsidR="00756A10" w:rsidRPr="00756A10" w:rsidRDefault="00756A10" w:rsidP="00756A10">
      <w:p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At present, the models are managed by the Business Analytics department</w:t>
      </w:r>
      <w:r w:rsidR="004759B9">
        <w:rPr>
          <w:rFonts w:ascii="Verdana" w:eastAsia="Times New Roman" w:hAnsi="Verdana" w:cs="Times New Roman"/>
          <w:color w:val="0E101A"/>
          <w:sz w:val="20"/>
          <w:szCs w:val="20"/>
        </w:rPr>
        <w:t>,</w:t>
      </w:r>
      <w:r w:rsidRPr="00756A10">
        <w:rPr>
          <w:rFonts w:ascii="Verdana" w:eastAsia="Times New Roman" w:hAnsi="Verdana" w:cs="Times New Roman"/>
          <w:color w:val="0E101A"/>
          <w:sz w:val="20"/>
          <w:szCs w:val="20"/>
        </w:rPr>
        <w:t xml:space="preserve"> and the historical data </w:t>
      </w:r>
      <w:r w:rsidR="00EE3052">
        <w:rPr>
          <w:rFonts w:ascii="Verdana" w:eastAsia="Times New Roman" w:hAnsi="Verdana" w:cs="Times New Roman"/>
          <w:color w:val="0E101A"/>
          <w:sz w:val="20"/>
          <w:szCs w:val="20"/>
        </w:rPr>
        <w:t>are</w:t>
      </w:r>
      <w:r w:rsidRPr="00756A10">
        <w:rPr>
          <w:rFonts w:ascii="Verdana" w:eastAsia="Times New Roman" w:hAnsi="Verdana" w:cs="Times New Roman"/>
          <w:color w:val="0E101A"/>
          <w:sz w:val="20"/>
          <w:szCs w:val="20"/>
        </w:rPr>
        <w:t xml:space="preserve"> managed by the Data Warehousing </w:t>
      </w:r>
      <w:r w:rsidR="005574B0">
        <w:rPr>
          <w:rFonts w:ascii="Verdana" w:eastAsia="Times New Roman" w:hAnsi="Verdana" w:cs="Times New Roman"/>
          <w:color w:val="0E101A"/>
          <w:sz w:val="20"/>
          <w:szCs w:val="20"/>
        </w:rPr>
        <w:t>department</w:t>
      </w:r>
      <w:r w:rsidRPr="00756A10">
        <w:rPr>
          <w:rFonts w:ascii="Verdana" w:eastAsia="Times New Roman" w:hAnsi="Verdana" w:cs="Times New Roman"/>
          <w:color w:val="0E101A"/>
          <w:sz w:val="20"/>
          <w:szCs w:val="20"/>
        </w:rPr>
        <w:t xml:space="preserve">. The IT department supports the various technical needs of both the Business Analytics and the Data Warehousing </w:t>
      </w:r>
      <w:r w:rsidR="0054594A">
        <w:rPr>
          <w:rFonts w:ascii="Verdana" w:eastAsia="Times New Roman" w:hAnsi="Verdana" w:cs="Times New Roman"/>
          <w:color w:val="0E101A"/>
          <w:sz w:val="20"/>
          <w:szCs w:val="20"/>
        </w:rPr>
        <w:t xml:space="preserve">departmental </w:t>
      </w:r>
      <w:r w:rsidRPr="00756A10">
        <w:rPr>
          <w:rFonts w:ascii="Verdana" w:eastAsia="Times New Roman" w:hAnsi="Verdana" w:cs="Times New Roman"/>
          <w:color w:val="0E101A"/>
          <w:sz w:val="20"/>
          <w:szCs w:val="20"/>
        </w:rPr>
        <w:t>silos but does not influence the policies and procedures of these two departments, as they each have their own set</w:t>
      </w:r>
      <w:r w:rsidR="004759B9">
        <w:rPr>
          <w:rFonts w:ascii="Verdana" w:eastAsia="Times New Roman" w:hAnsi="Verdana" w:cs="Times New Roman"/>
          <w:color w:val="0E101A"/>
          <w:sz w:val="20"/>
          <w:szCs w:val="20"/>
        </w:rPr>
        <w:t>s</w:t>
      </w:r>
      <w:r w:rsidRPr="00756A10">
        <w:rPr>
          <w:rFonts w:ascii="Verdana" w:eastAsia="Times New Roman" w:hAnsi="Verdana" w:cs="Times New Roman"/>
          <w:color w:val="0E101A"/>
          <w:sz w:val="20"/>
          <w:szCs w:val="20"/>
        </w:rPr>
        <w:t xml:space="preserve"> of policies and procedures. </w:t>
      </w:r>
      <w:proofErr w:type="spellStart"/>
      <w:r w:rsidRPr="00756A10">
        <w:rPr>
          <w:rFonts w:ascii="Verdana" w:eastAsia="Times New Roman" w:hAnsi="Verdana" w:cs="Times New Roman"/>
          <w:color w:val="0E101A"/>
          <w:sz w:val="20"/>
          <w:szCs w:val="20"/>
        </w:rPr>
        <w:t>Merrilton</w:t>
      </w:r>
      <w:proofErr w:type="spellEnd"/>
      <w:r w:rsidR="00A47742">
        <w:rPr>
          <w:rFonts w:ascii="Verdana" w:eastAsia="Times New Roman" w:hAnsi="Verdana" w:cs="Times New Roman"/>
          <w:color w:val="0E101A"/>
          <w:sz w:val="20"/>
          <w:szCs w:val="20"/>
        </w:rPr>
        <w:t xml:space="preserve"> currently</w:t>
      </w:r>
      <w:r w:rsidRPr="00756A10">
        <w:rPr>
          <w:rFonts w:ascii="Verdana" w:eastAsia="Times New Roman" w:hAnsi="Verdana" w:cs="Times New Roman"/>
          <w:color w:val="0E101A"/>
          <w:sz w:val="20"/>
          <w:szCs w:val="20"/>
        </w:rPr>
        <w:t xml:space="preserve"> operates in </w:t>
      </w:r>
      <w:r w:rsidR="0054594A">
        <w:rPr>
          <w:rFonts w:ascii="Verdana" w:eastAsia="Times New Roman" w:hAnsi="Verdana" w:cs="Times New Roman"/>
          <w:color w:val="0E101A"/>
          <w:sz w:val="20"/>
          <w:szCs w:val="20"/>
        </w:rPr>
        <w:t>departmental</w:t>
      </w:r>
      <w:r w:rsidR="0054594A" w:rsidRPr="00756A10">
        <w:rPr>
          <w:rFonts w:ascii="Verdana" w:eastAsia="Times New Roman" w:hAnsi="Verdana" w:cs="Times New Roman"/>
          <w:color w:val="0E101A"/>
          <w:sz w:val="20"/>
          <w:szCs w:val="20"/>
        </w:rPr>
        <w:t xml:space="preserve"> </w:t>
      </w:r>
      <w:r w:rsidRPr="00756A10">
        <w:rPr>
          <w:rFonts w:ascii="Verdana" w:eastAsia="Times New Roman" w:hAnsi="Verdana" w:cs="Times New Roman"/>
          <w:color w:val="0E101A"/>
          <w:sz w:val="20"/>
          <w:szCs w:val="20"/>
        </w:rPr>
        <w:t xml:space="preserve">silos </w:t>
      </w:r>
      <w:r w:rsidR="0054594A">
        <w:rPr>
          <w:rFonts w:ascii="Verdana" w:eastAsia="Times New Roman" w:hAnsi="Verdana" w:cs="Times New Roman"/>
          <w:color w:val="0E101A"/>
          <w:sz w:val="20"/>
          <w:szCs w:val="20"/>
        </w:rPr>
        <w:t xml:space="preserve">as well, </w:t>
      </w:r>
      <w:r w:rsidRPr="00756A10">
        <w:rPr>
          <w:rFonts w:ascii="Verdana" w:eastAsia="Times New Roman" w:hAnsi="Verdana" w:cs="Times New Roman"/>
          <w:color w:val="0E101A"/>
          <w:sz w:val="20"/>
          <w:szCs w:val="20"/>
        </w:rPr>
        <w:t>using a highly centralized data warehouse with several data marts supporting specific departments, including one for Business Analytics. Issues in integrating data from various sources continue to present impediments to data integration and model development and calibration.</w:t>
      </w:r>
      <w:r w:rsidR="003E39E8">
        <w:rPr>
          <w:rFonts w:ascii="Verdana" w:eastAsia="Times New Roman" w:hAnsi="Verdana" w:cs="Times New Roman"/>
          <w:color w:val="0E101A"/>
          <w:sz w:val="20"/>
          <w:szCs w:val="20"/>
        </w:rPr>
        <w:t xml:space="preserve"> </w:t>
      </w:r>
      <w:r w:rsidRPr="00756A10">
        <w:rPr>
          <w:rFonts w:ascii="Verdana" w:eastAsia="Times New Roman" w:hAnsi="Verdana" w:cs="Times New Roman"/>
          <w:color w:val="0E101A"/>
          <w:sz w:val="20"/>
          <w:szCs w:val="20"/>
        </w:rPr>
        <w:t>Elements of data governance related to people, processes, content, and technology exist across many of th</w:t>
      </w:r>
      <w:r w:rsidR="003E39E8">
        <w:rPr>
          <w:rFonts w:ascii="Verdana" w:eastAsia="Times New Roman" w:hAnsi="Verdana" w:cs="Times New Roman"/>
          <w:color w:val="0E101A"/>
          <w:sz w:val="20"/>
          <w:szCs w:val="20"/>
        </w:rPr>
        <w:t>ese</w:t>
      </w:r>
      <w:r w:rsidRPr="00756A10">
        <w:rPr>
          <w:rFonts w:ascii="Verdana" w:eastAsia="Times New Roman" w:hAnsi="Verdana" w:cs="Times New Roman"/>
          <w:color w:val="0E101A"/>
          <w:sz w:val="20"/>
          <w:szCs w:val="20"/>
        </w:rPr>
        <w:t xml:space="preserve"> </w:t>
      </w:r>
      <w:r w:rsidRPr="00756A10">
        <w:rPr>
          <w:rFonts w:ascii="Verdana" w:eastAsia="Times New Roman" w:hAnsi="Verdana" w:cs="Times New Roman"/>
          <w:color w:val="0E101A"/>
          <w:sz w:val="20"/>
          <w:szCs w:val="20"/>
        </w:rPr>
        <w:lastRenderedPageBreak/>
        <w:t>departments but do not appear standardized or synchronized and experience frequent ad-hoc changes.</w:t>
      </w:r>
      <w:r w:rsidR="003E39E8">
        <w:rPr>
          <w:rFonts w:ascii="Verdana" w:eastAsia="Times New Roman" w:hAnsi="Verdana" w:cs="Times New Roman"/>
          <w:color w:val="0E101A"/>
          <w:sz w:val="20"/>
          <w:szCs w:val="20"/>
        </w:rPr>
        <w:t xml:space="preserve"> Furthermore, t</w:t>
      </w:r>
      <w:r w:rsidRPr="00756A10">
        <w:rPr>
          <w:rFonts w:ascii="Verdana" w:eastAsia="Times New Roman" w:hAnsi="Verdana" w:cs="Times New Roman"/>
          <w:color w:val="0E101A"/>
          <w:sz w:val="20"/>
          <w:szCs w:val="20"/>
        </w:rPr>
        <w:t>he</w:t>
      </w:r>
      <w:r w:rsidR="003E39E8">
        <w:rPr>
          <w:rFonts w:ascii="Verdana" w:eastAsia="Times New Roman" w:hAnsi="Verdana" w:cs="Times New Roman"/>
          <w:color w:val="0E101A"/>
          <w:sz w:val="20"/>
          <w:szCs w:val="20"/>
        </w:rPr>
        <w:t xml:space="preserve">se </w:t>
      </w:r>
      <w:r w:rsidRPr="00756A10">
        <w:rPr>
          <w:rFonts w:ascii="Verdana" w:eastAsia="Times New Roman" w:hAnsi="Verdana" w:cs="Times New Roman"/>
          <w:color w:val="0E101A"/>
          <w:sz w:val="20"/>
          <w:szCs w:val="20"/>
        </w:rPr>
        <w:t>department</w:t>
      </w:r>
      <w:r w:rsidR="003E39E8">
        <w:rPr>
          <w:rFonts w:ascii="Verdana" w:eastAsia="Times New Roman" w:hAnsi="Verdana" w:cs="Times New Roman"/>
          <w:color w:val="0E101A"/>
          <w:sz w:val="20"/>
          <w:szCs w:val="20"/>
        </w:rPr>
        <w:t xml:space="preserve">al silos also </w:t>
      </w:r>
      <w:r w:rsidRPr="00756A10">
        <w:rPr>
          <w:rFonts w:ascii="Verdana" w:eastAsia="Times New Roman" w:hAnsi="Verdana" w:cs="Times New Roman"/>
          <w:color w:val="0E101A"/>
          <w:sz w:val="20"/>
          <w:szCs w:val="20"/>
        </w:rPr>
        <w:t>provide centralized services, such as IT, professional development, accounting, and human resources (HR), but they are rarely used in decision</w:t>
      </w:r>
      <w:r w:rsidR="00595021">
        <w:rPr>
          <w:rFonts w:ascii="Verdana" w:eastAsia="Times New Roman" w:hAnsi="Verdana" w:cs="Times New Roman"/>
          <w:color w:val="0E101A"/>
          <w:sz w:val="20"/>
          <w:szCs w:val="20"/>
        </w:rPr>
        <w:t xml:space="preserve"> </w:t>
      </w:r>
      <w:r w:rsidR="006B1CC2">
        <w:rPr>
          <w:rFonts w:ascii="Verdana" w:eastAsia="Times New Roman" w:hAnsi="Verdana" w:cs="Times New Roman"/>
          <w:color w:val="0E101A"/>
          <w:sz w:val="20"/>
          <w:szCs w:val="20"/>
        </w:rPr>
        <w:t>-</w:t>
      </w:r>
      <w:r w:rsidRPr="00756A10">
        <w:rPr>
          <w:rFonts w:ascii="Verdana" w:eastAsia="Times New Roman" w:hAnsi="Verdana" w:cs="Times New Roman"/>
          <w:color w:val="0E101A"/>
          <w:sz w:val="20"/>
          <w:szCs w:val="20"/>
        </w:rPr>
        <w:t xml:space="preserve"> or </w:t>
      </w:r>
      <w:r w:rsidR="00873EBB" w:rsidRPr="00756A10">
        <w:rPr>
          <w:rFonts w:ascii="Verdana" w:eastAsia="Times New Roman" w:hAnsi="Verdana" w:cs="Times New Roman"/>
          <w:color w:val="0E101A"/>
          <w:sz w:val="20"/>
          <w:szCs w:val="20"/>
        </w:rPr>
        <w:t>policy</w:t>
      </w:r>
      <w:r w:rsidR="006B1CC2">
        <w:rPr>
          <w:rFonts w:ascii="Verdana" w:eastAsia="Times New Roman" w:hAnsi="Verdana" w:cs="Times New Roman"/>
          <w:color w:val="0E101A"/>
          <w:sz w:val="20"/>
          <w:szCs w:val="20"/>
        </w:rPr>
        <w:t xml:space="preserve"> </w:t>
      </w:r>
      <w:r w:rsidR="00873EBB" w:rsidRPr="00756A10">
        <w:rPr>
          <w:rFonts w:ascii="Verdana" w:eastAsia="Times New Roman" w:hAnsi="Verdana" w:cs="Times New Roman"/>
          <w:color w:val="0E101A"/>
          <w:sz w:val="20"/>
          <w:szCs w:val="20"/>
        </w:rPr>
        <w:t>making</w:t>
      </w:r>
      <w:r w:rsidRPr="00756A10">
        <w:rPr>
          <w:rFonts w:ascii="Verdana" w:eastAsia="Times New Roman" w:hAnsi="Verdana" w:cs="Times New Roman"/>
          <w:color w:val="0E101A"/>
          <w:sz w:val="20"/>
          <w:szCs w:val="20"/>
        </w:rPr>
        <w:t xml:space="preserve"> at the enterprise level.</w:t>
      </w:r>
    </w:p>
    <w:p w14:paraId="5E631568" w14:textId="77777777" w:rsidR="00756A10" w:rsidRPr="00756A10" w:rsidRDefault="00756A10" w:rsidP="00756A10">
      <w:pPr>
        <w:spacing w:after="0" w:line="240" w:lineRule="auto"/>
        <w:rPr>
          <w:rFonts w:ascii="Verdana" w:eastAsia="Times New Roman" w:hAnsi="Verdana" w:cs="Times New Roman"/>
          <w:color w:val="0E101A"/>
          <w:sz w:val="20"/>
          <w:szCs w:val="20"/>
        </w:rPr>
      </w:pPr>
    </w:p>
    <w:p w14:paraId="6D702D87" w14:textId="67CF9726" w:rsidR="00322F5A" w:rsidRPr="00FE61D6" w:rsidRDefault="00322F5A" w:rsidP="00756A10">
      <w:pPr>
        <w:spacing w:after="0" w:line="240" w:lineRule="auto"/>
        <w:rPr>
          <w:rFonts w:ascii="Verdana" w:eastAsia="Times New Roman" w:hAnsi="Verdana" w:cs="Times New Roman"/>
          <w:color w:val="0E101A"/>
          <w:sz w:val="20"/>
          <w:szCs w:val="20"/>
          <w:u w:val="single"/>
        </w:rPr>
      </w:pPr>
      <w:r>
        <w:rPr>
          <w:rFonts w:ascii="Verdana" w:eastAsia="Times New Roman" w:hAnsi="Verdana" w:cs="Times New Roman"/>
          <w:color w:val="0E101A"/>
          <w:sz w:val="20"/>
          <w:szCs w:val="20"/>
          <w:u w:val="single"/>
        </w:rPr>
        <w:t>Current Crisis</w:t>
      </w:r>
    </w:p>
    <w:p w14:paraId="76F204EB" w14:textId="77777777" w:rsidR="00322F5A" w:rsidRDefault="00322F5A" w:rsidP="00756A10">
      <w:pPr>
        <w:spacing w:after="0" w:line="240" w:lineRule="auto"/>
        <w:rPr>
          <w:rFonts w:ascii="Verdana" w:eastAsia="Times New Roman" w:hAnsi="Verdana" w:cs="Times New Roman"/>
          <w:color w:val="0E101A"/>
          <w:sz w:val="20"/>
          <w:szCs w:val="20"/>
        </w:rPr>
      </w:pPr>
    </w:p>
    <w:p w14:paraId="1A39260E" w14:textId="4F1ED8CE" w:rsidR="00756A10" w:rsidRPr="00756A10" w:rsidRDefault="00756A10" w:rsidP="00756A10">
      <w:p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 xml:space="preserve">During the past </w:t>
      </w:r>
      <w:r w:rsidR="003E39E8">
        <w:rPr>
          <w:rFonts w:ascii="Verdana" w:eastAsia="Times New Roman" w:hAnsi="Verdana" w:cs="Times New Roman"/>
          <w:color w:val="0E101A"/>
          <w:sz w:val="20"/>
          <w:szCs w:val="20"/>
        </w:rPr>
        <w:t xml:space="preserve">few </w:t>
      </w:r>
      <w:r w:rsidRPr="00756A10">
        <w:rPr>
          <w:rFonts w:ascii="Verdana" w:eastAsia="Times New Roman" w:hAnsi="Verdana" w:cs="Times New Roman"/>
          <w:color w:val="0E101A"/>
          <w:sz w:val="20"/>
          <w:szCs w:val="20"/>
        </w:rPr>
        <w:t>week</w:t>
      </w:r>
      <w:r w:rsidR="003E39E8">
        <w:rPr>
          <w:rFonts w:ascii="Verdana" w:eastAsia="Times New Roman" w:hAnsi="Verdana" w:cs="Times New Roman"/>
          <w:color w:val="0E101A"/>
          <w:sz w:val="20"/>
          <w:szCs w:val="20"/>
        </w:rPr>
        <w:t xml:space="preserve">s, </w:t>
      </w:r>
      <w:r w:rsidRPr="00756A10">
        <w:rPr>
          <w:rFonts w:ascii="Verdana" w:eastAsia="Times New Roman" w:hAnsi="Verdana" w:cs="Times New Roman"/>
          <w:color w:val="0E101A"/>
          <w:sz w:val="20"/>
          <w:szCs w:val="20"/>
        </w:rPr>
        <w:t>an economic downturn affected many of the bank’s commercial customers,</w:t>
      </w:r>
      <w:r w:rsidR="003E39E8">
        <w:rPr>
          <w:rFonts w:ascii="Verdana" w:eastAsia="Times New Roman" w:hAnsi="Verdana" w:cs="Times New Roman"/>
          <w:color w:val="0E101A"/>
          <w:sz w:val="20"/>
          <w:szCs w:val="20"/>
        </w:rPr>
        <w:t xml:space="preserve"> causing some businesses to temporarily close. As a result, Merrilton ba</w:t>
      </w:r>
      <w:r w:rsidRPr="00756A10">
        <w:rPr>
          <w:rFonts w:ascii="Verdana" w:eastAsia="Times New Roman" w:hAnsi="Verdana" w:cs="Times New Roman"/>
          <w:color w:val="0E101A"/>
          <w:sz w:val="20"/>
          <w:szCs w:val="20"/>
        </w:rPr>
        <w:t xml:space="preserve">nk was entrusted by the Department of the Treasury to administer an expedited portion of a federal loan program, the Small-Business Assistance Program (SBAP), to support affected small businesses. The Department of Treasury will be supported by several oversight organizations in ensuring transparency and accountability of the program spending. Standardized data from loan operators are being collected and published on a government website. </w:t>
      </w:r>
    </w:p>
    <w:p w14:paraId="1D75A774" w14:textId="77777777" w:rsidR="00756A10" w:rsidRPr="00756A10" w:rsidRDefault="00756A10" w:rsidP="00756A10">
      <w:pPr>
        <w:spacing w:after="0" w:line="240" w:lineRule="auto"/>
        <w:rPr>
          <w:rFonts w:ascii="Verdana" w:eastAsia="Times New Roman" w:hAnsi="Verdana" w:cs="Times New Roman"/>
          <w:color w:val="0E101A"/>
          <w:sz w:val="20"/>
          <w:szCs w:val="20"/>
        </w:rPr>
      </w:pPr>
    </w:p>
    <w:p w14:paraId="45A5C1BE" w14:textId="325E3667" w:rsidR="00756A10" w:rsidRPr="00756A10" w:rsidRDefault="00756A10" w:rsidP="00756A10">
      <w:p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Merrilton Bank is still assessing the specific needs for people, technology, processes, and data to support this loan program and ensure that the bank will remain compliant with the requirement</w:t>
      </w:r>
      <w:r w:rsidR="00D72DAB">
        <w:rPr>
          <w:rFonts w:ascii="Verdana" w:eastAsia="Times New Roman" w:hAnsi="Verdana" w:cs="Times New Roman"/>
          <w:color w:val="0E101A"/>
          <w:sz w:val="20"/>
          <w:szCs w:val="20"/>
        </w:rPr>
        <w:t>s</w:t>
      </w:r>
      <w:r w:rsidRPr="00756A10">
        <w:rPr>
          <w:rFonts w:ascii="Verdana" w:eastAsia="Times New Roman" w:hAnsi="Verdana" w:cs="Times New Roman"/>
          <w:color w:val="0E101A"/>
          <w:sz w:val="20"/>
          <w:szCs w:val="20"/>
        </w:rPr>
        <w:t xml:space="preserve"> of the Department of Treasury so that it can be eligible to administer any future portions of the federal loan program and to avoid consequences from mismanagement of the federal program.</w:t>
      </w:r>
    </w:p>
    <w:p w14:paraId="03065D22" w14:textId="77777777" w:rsidR="00756A10" w:rsidRPr="00756A10" w:rsidRDefault="00756A10" w:rsidP="00756A10">
      <w:pPr>
        <w:spacing w:after="0" w:line="240" w:lineRule="auto"/>
        <w:rPr>
          <w:rFonts w:ascii="Verdana" w:eastAsia="Times New Roman" w:hAnsi="Verdana" w:cs="Times New Roman"/>
          <w:color w:val="0E101A"/>
          <w:sz w:val="20"/>
          <w:szCs w:val="20"/>
        </w:rPr>
      </w:pPr>
    </w:p>
    <w:p w14:paraId="262FA34A" w14:textId="68D5F351" w:rsidR="00756A10" w:rsidRPr="00756A10" w:rsidRDefault="00756A10" w:rsidP="00756A10">
      <w:p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To apply for a SBAP</w:t>
      </w:r>
      <w:r w:rsidR="00D72DAB">
        <w:rPr>
          <w:rFonts w:ascii="Verdana" w:eastAsia="Times New Roman" w:hAnsi="Verdana" w:cs="Times New Roman"/>
          <w:color w:val="0E101A"/>
          <w:sz w:val="20"/>
          <w:szCs w:val="20"/>
        </w:rPr>
        <w:t xml:space="preserve"> loan</w:t>
      </w:r>
      <w:r w:rsidRPr="00756A10">
        <w:rPr>
          <w:rFonts w:ascii="Verdana" w:eastAsia="Times New Roman" w:hAnsi="Verdana" w:cs="Times New Roman"/>
          <w:color w:val="0E101A"/>
          <w:sz w:val="20"/>
          <w:szCs w:val="20"/>
        </w:rPr>
        <w:t xml:space="preserve">, a business is required to apply for the loan directly </w:t>
      </w:r>
      <w:r w:rsidR="00217A8C">
        <w:rPr>
          <w:rFonts w:ascii="Verdana" w:eastAsia="Times New Roman" w:hAnsi="Verdana" w:cs="Times New Roman"/>
          <w:color w:val="0E101A"/>
          <w:sz w:val="20"/>
          <w:szCs w:val="20"/>
        </w:rPr>
        <w:t>at</w:t>
      </w:r>
      <w:r w:rsidR="00217A8C" w:rsidRPr="00756A10">
        <w:rPr>
          <w:rFonts w:ascii="Verdana" w:eastAsia="Times New Roman" w:hAnsi="Verdana" w:cs="Times New Roman"/>
          <w:color w:val="0E101A"/>
          <w:sz w:val="20"/>
          <w:szCs w:val="20"/>
        </w:rPr>
        <w:t xml:space="preserve"> </w:t>
      </w:r>
      <w:r w:rsidRPr="00756A10">
        <w:rPr>
          <w:rFonts w:ascii="Verdana" w:eastAsia="Times New Roman" w:hAnsi="Verdana" w:cs="Times New Roman"/>
          <w:color w:val="0E101A"/>
          <w:sz w:val="20"/>
          <w:szCs w:val="20"/>
        </w:rPr>
        <w:t>a bank operating a portion of the loan program using a paper form or via a web portal and provide a small set of operational indicators, including industry sector, income lost per day due to closure, number of employees affected, years in business, and annual profits from the past calendar year. Traditionally when a</w:t>
      </w:r>
      <w:r w:rsidR="00217A8C">
        <w:rPr>
          <w:rFonts w:ascii="Verdana" w:eastAsia="Times New Roman" w:hAnsi="Verdana" w:cs="Times New Roman"/>
          <w:color w:val="0E101A"/>
          <w:sz w:val="20"/>
          <w:szCs w:val="20"/>
        </w:rPr>
        <w:t xml:space="preserve"> loan</w:t>
      </w:r>
      <w:r w:rsidRPr="00756A10">
        <w:rPr>
          <w:rFonts w:ascii="Verdana" w:eastAsia="Times New Roman" w:hAnsi="Verdana" w:cs="Times New Roman"/>
          <w:color w:val="0E101A"/>
          <w:sz w:val="20"/>
          <w:szCs w:val="20"/>
        </w:rPr>
        <w:t xml:space="preserve"> application is submitted, 20 questions are included in </w:t>
      </w:r>
      <w:r w:rsidR="00D72DAB">
        <w:rPr>
          <w:rFonts w:ascii="Verdana" w:eastAsia="Times New Roman" w:hAnsi="Verdana" w:cs="Times New Roman"/>
          <w:color w:val="0E101A"/>
          <w:sz w:val="20"/>
          <w:szCs w:val="20"/>
        </w:rPr>
        <w:t xml:space="preserve">the </w:t>
      </w:r>
      <w:r w:rsidRPr="00756A10">
        <w:rPr>
          <w:rFonts w:ascii="Verdana" w:eastAsia="Times New Roman" w:hAnsi="Verdana" w:cs="Times New Roman"/>
          <w:color w:val="0E101A"/>
          <w:sz w:val="20"/>
          <w:szCs w:val="20"/>
        </w:rPr>
        <w:t>data collection process</w:t>
      </w:r>
      <w:r w:rsidR="00D72DAB">
        <w:rPr>
          <w:rFonts w:ascii="Verdana" w:eastAsia="Times New Roman" w:hAnsi="Verdana" w:cs="Times New Roman"/>
          <w:color w:val="0E101A"/>
          <w:sz w:val="20"/>
          <w:szCs w:val="20"/>
        </w:rPr>
        <w:t>;</w:t>
      </w:r>
      <w:r w:rsidRPr="00756A10">
        <w:rPr>
          <w:rFonts w:ascii="Verdana" w:eastAsia="Times New Roman" w:hAnsi="Verdana" w:cs="Times New Roman"/>
          <w:color w:val="0E101A"/>
          <w:sz w:val="20"/>
          <w:szCs w:val="20"/>
        </w:rPr>
        <w:t xml:space="preserve"> however, the federal data for this emergency loan product only </w:t>
      </w:r>
      <w:r w:rsidR="00217A8C">
        <w:rPr>
          <w:rFonts w:ascii="Verdana" w:eastAsia="Times New Roman" w:hAnsi="Verdana" w:cs="Times New Roman"/>
          <w:color w:val="0E101A"/>
          <w:sz w:val="20"/>
          <w:szCs w:val="20"/>
        </w:rPr>
        <w:t>require</w:t>
      </w:r>
      <w:r w:rsidR="003E39E8">
        <w:rPr>
          <w:rFonts w:ascii="Verdana" w:eastAsia="Times New Roman" w:hAnsi="Verdana" w:cs="Times New Roman"/>
          <w:color w:val="0E101A"/>
          <w:sz w:val="20"/>
          <w:szCs w:val="20"/>
        </w:rPr>
        <w:t>s</w:t>
      </w:r>
      <w:r w:rsidR="00217A8C">
        <w:rPr>
          <w:rFonts w:ascii="Verdana" w:eastAsia="Times New Roman" w:hAnsi="Verdana" w:cs="Times New Roman"/>
          <w:color w:val="0E101A"/>
          <w:sz w:val="20"/>
          <w:szCs w:val="20"/>
        </w:rPr>
        <w:t xml:space="preserve"> </w:t>
      </w:r>
      <w:r w:rsidR="00873EBB">
        <w:rPr>
          <w:rFonts w:ascii="Verdana" w:eastAsia="Times New Roman" w:hAnsi="Verdana" w:cs="Times New Roman"/>
          <w:color w:val="0E101A"/>
          <w:sz w:val="20"/>
          <w:szCs w:val="20"/>
        </w:rPr>
        <w:t>five</w:t>
      </w:r>
      <w:r w:rsidR="00873EBB" w:rsidRPr="00756A10">
        <w:rPr>
          <w:rFonts w:ascii="Verdana" w:eastAsia="Times New Roman" w:hAnsi="Verdana" w:cs="Times New Roman"/>
          <w:color w:val="0E101A"/>
          <w:sz w:val="20"/>
          <w:szCs w:val="20"/>
        </w:rPr>
        <w:t xml:space="preserve"> </w:t>
      </w:r>
      <w:r w:rsidRPr="00756A10">
        <w:rPr>
          <w:rFonts w:ascii="Verdana" w:eastAsia="Times New Roman" w:hAnsi="Verdana" w:cs="Times New Roman"/>
          <w:color w:val="0E101A"/>
          <w:sz w:val="20"/>
          <w:szCs w:val="20"/>
        </w:rPr>
        <w:t xml:space="preserve">of these questions. While the credit models </w:t>
      </w:r>
      <w:r w:rsidR="00D72DAB">
        <w:rPr>
          <w:rFonts w:ascii="Verdana" w:eastAsia="Times New Roman" w:hAnsi="Verdana" w:cs="Times New Roman"/>
          <w:color w:val="0E101A"/>
          <w:sz w:val="20"/>
          <w:szCs w:val="20"/>
        </w:rPr>
        <w:t xml:space="preserve">that </w:t>
      </w:r>
      <w:r w:rsidRPr="00756A10">
        <w:rPr>
          <w:rFonts w:ascii="Verdana" w:eastAsia="Times New Roman" w:hAnsi="Verdana" w:cs="Times New Roman"/>
          <w:color w:val="0E101A"/>
          <w:sz w:val="20"/>
          <w:szCs w:val="20"/>
        </w:rPr>
        <w:t>Merrilton currently uses require the</w:t>
      </w:r>
      <w:r w:rsidR="003E39E8">
        <w:rPr>
          <w:rFonts w:ascii="Verdana" w:eastAsia="Times New Roman" w:hAnsi="Verdana" w:cs="Times New Roman"/>
          <w:color w:val="0E101A"/>
          <w:sz w:val="20"/>
          <w:szCs w:val="20"/>
        </w:rPr>
        <w:t xml:space="preserve"> same federal </w:t>
      </w:r>
      <w:r w:rsidRPr="00756A10">
        <w:rPr>
          <w:rFonts w:ascii="Verdana" w:eastAsia="Times New Roman" w:hAnsi="Verdana" w:cs="Times New Roman"/>
          <w:color w:val="0E101A"/>
          <w:sz w:val="20"/>
          <w:szCs w:val="20"/>
        </w:rPr>
        <w:t>data</w:t>
      </w:r>
      <w:r w:rsidR="003E39E8">
        <w:rPr>
          <w:rFonts w:ascii="Verdana" w:eastAsia="Times New Roman" w:hAnsi="Verdana" w:cs="Times New Roman"/>
          <w:color w:val="0E101A"/>
          <w:sz w:val="20"/>
          <w:szCs w:val="20"/>
        </w:rPr>
        <w:t xml:space="preserve"> as the emergency loan product</w:t>
      </w:r>
      <w:r w:rsidRPr="00756A10">
        <w:rPr>
          <w:rFonts w:ascii="Verdana" w:eastAsia="Times New Roman" w:hAnsi="Verdana" w:cs="Times New Roman"/>
          <w:color w:val="0E101A"/>
          <w:sz w:val="20"/>
          <w:szCs w:val="20"/>
        </w:rPr>
        <w:t>, they also rely on additional variables that the emergency loan program does not require.</w:t>
      </w:r>
    </w:p>
    <w:p w14:paraId="0C9821BC" w14:textId="77777777" w:rsidR="00756A10" w:rsidRPr="00756A10" w:rsidRDefault="00756A10" w:rsidP="00756A10">
      <w:pPr>
        <w:spacing w:after="0" w:line="240" w:lineRule="auto"/>
        <w:rPr>
          <w:rFonts w:ascii="Verdana" w:eastAsia="Times New Roman" w:hAnsi="Verdana" w:cs="Times New Roman"/>
          <w:color w:val="0E101A"/>
          <w:sz w:val="20"/>
          <w:szCs w:val="20"/>
        </w:rPr>
      </w:pPr>
    </w:p>
    <w:p w14:paraId="4352D73A" w14:textId="7BDB32E0" w:rsidR="00756A10" w:rsidRPr="00756A10" w:rsidRDefault="00756A10" w:rsidP="00756A10">
      <w:p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 xml:space="preserve">The Department of Treasury requires that the loan operator </w:t>
      </w:r>
      <w:r w:rsidR="00D72DAB">
        <w:rPr>
          <w:rFonts w:ascii="Verdana" w:eastAsia="Times New Roman" w:hAnsi="Verdana" w:cs="Times New Roman"/>
          <w:color w:val="0E101A"/>
          <w:sz w:val="20"/>
          <w:szCs w:val="20"/>
        </w:rPr>
        <w:t>en</w:t>
      </w:r>
      <w:r w:rsidRPr="00756A10">
        <w:rPr>
          <w:rFonts w:ascii="Verdana" w:eastAsia="Times New Roman" w:hAnsi="Verdana" w:cs="Times New Roman"/>
          <w:color w:val="0E101A"/>
          <w:sz w:val="20"/>
          <w:szCs w:val="20"/>
        </w:rPr>
        <w:t>sures the confidentiality of the data collected about the loan, maintains systems for data preservation and potential audits, and ensures compliance with all applicable laws and regulations.</w:t>
      </w:r>
    </w:p>
    <w:p w14:paraId="5C17B32C" w14:textId="77777777" w:rsidR="00756A10" w:rsidRPr="00756A10" w:rsidRDefault="00756A10" w:rsidP="00756A10">
      <w:pPr>
        <w:spacing w:after="0" w:line="240" w:lineRule="auto"/>
        <w:rPr>
          <w:rFonts w:ascii="Verdana" w:eastAsia="Times New Roman" w:hAnsi="Verdana" w:cs="Times New Roman"/>
          <w:color w:val="0E101A"/>
          <w:sz w:val="20"/>
          <w:szCs w:val="20"/>
        </w:rPr>
      </w:pPr>
    </w:p>
    <w:p w14:paraId="1441766E" w14:textId="233BACBE" w:rsidR="00756A10" w:rsidRPr="00756A10" w:rsidRDefault="00756A10" w:rsidP="00756A10">
      <w:p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The SBAP is a renewable program. Should the situation continue to affect businesses, Merrilton would be able to administer successive rounds of the loan program provided that the bank satisfies specified thresholds regarding service levels</w:t>
      </w:r>
      <w:r w:rsidR="00D72DAB">
        <w:rPr>
          <w:rFonts w:ascii="Verdana" w:eastAsia="Times New Roman" w:hAnsi="Verdana" w:cs="Times New Roman"/>
          <w:color w:val="0E101A"/>
          <w:sz w:val="20"/>
          <w:szCs w:val="20"/>
        </w:rPr>
        <w:t>,</w:t>
      </w:r>
      <w:r w:rsidRPr="00756A10">
        <w:rPr>
          <w:rFonts w:ascii="Verdana" w:eastAsia="Times New Roman" w:hAnsi="Verdana" w:cs="Times New Roman"/>
          <w:color w:val="0E101A"/>
          <w:sz w:val="20"/>
          <w:szCs w:val="20"/>
        </w:rPr>
        <w:t xml:space="preserve"> engagement, diversity in the spectrum of small businesses awarded, and initial repayment levels, as well as compliance with associated rules and requirements. One of the requirements specifies the level of the two-month repayment rate and for the bank to give out loans equitably. The bank is expected to provide periodic reporting to the Department of Treasury by sharing data on the operations of these loans using open data standards as defined by the National Institute of Standards and Technology (NIST) and make additional data available for ad hoc audits.</w:t>
      </w:r>
    </w:p>
    <w:p w14:paraId="2E690C77" w14:textId="77777777" w:rsidR="00756A10" w:rsidRPr="00756A10" w:rsidRDefault="00756A10" w:rsidP="00756A10">
      <w:pPr>
        <w:spacing w:after="0" w:line="240" w:lineRule="auto"/>
        <w:rPr>
          <w:rFonts w:ascii="Verdana" w:eastAsia="Times New Roman" w:hAnsi="Verdana" w:cs="Times New Roman"/>
          <w:color w:val="0E101A"/>
          <w:sz w:val="20"/>
          <w:szCs w:val="20"/>
        </w:rPr>
      </w:pPr>
    </w:p>
    <w:p w14:paraId="0F0FF50B" w14:textId="435EC81E" w:rsidR="00756A10" w:rsidRPr="00756A10" w:rsidRDefault="00756A10" w:rsidP="00756A10">
      <w:p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 xml:space="preserve">Merrilton Bank is expected to report the number of </w:t>
      </w:r>
      <w:r w:rsidR="00217A8C">
        <w:rPr>
          <w:rFonts w:ascii="Verdana" w:eastAsia="Times New Roman" w:hAnsi="Verdana" w:cs="Times New Roman"/>
          <w:color w:val="0E101A"/>
          <w:sz w:val="20"/>
          <w:szCs w:val="20"/>
        </w:rPr>
        <w:t xml:space="preserve">SBAP </w:t>
      </w:r>
      <w:r w:rsidRPr="00756A10">
        <w:rPr>
          <w:rFonts w:ascii="Verdana" w:eastAsia="Times New Roman" w:hAnsi="Verdana" w:cs="Times New Roman"/>
          <w:color w:val="0E101A"/>
          <w:sz w:val="20"/>
          <w:szCs w:val="20"/>
        </w:rPr>
        <w:t xml:space="preserve">loans in default status, a default rate threshold across business size or earning bands, and a diversity distribution profile on the small businesses that have been issued a loan. To meet some of those requirements, the bank will need to collect data available only at local offices and from different local offices and establish key performance indicators to share with the Department of Treasury </w:t>
      </w:r>
      <w:r w:rsidRPr="00756A10">
        <w:rPr>
          <w:rFonts w:ascii="Verdana" w:eastAsia="Times New Roman" w:hAnsi="Verdana" w:cs="Times New Roman"/>
          <w:color w:val="0E101A"/>
          <w:sz w:val="20"/>
          <w:szCs w:val="20"/>
        </w:rPr>
        <w:lastRenderedPageBreak/>
        <w:t>periodically when audited. The bank is considering using cloud computing to increase storage efficiency and availability of large spending data</w:t>
      </w:r>
      <w:r w:rsidR="00217A8C">
        <w:rPr>
          <w:rFonts w:ascii="Verdana" w:eastAsia="Times New Roman" w:hAnsi="Verdana" w:cs="Times New Roman"/>
          <w:color w:val="0E101A"/>
          <w:sz w:val="20"/>
          <w:szCs w:val="20"/>
        </w:rPr>
        <w:t xml:space="preserve"> </w:t>
      </w:r>
      <w:r w:rsidRPr="00756A10">
        <w:rPr>
          <w:rFonts w:ascii="Verdana" w:eastAsia="Times New Roman" w:hAnsi="Verdana" w:cs="Times New Roman"/>
          <w:color w:val="0E101A"/>
          <w:sz w:val="20"/>
          <w:szCs w:val="20"/>
        </w:rPr>
        <w:t xml:space="preserve">sets. </w:t>
      </w:r>
    </w:p>
    <w:p w14:paraId="7238693B" w14:textId="77777777" w:rsidR="00756A10" w:rsidRPr="00756A10" w:rsidRDefault="00756A10" w:rsidP="00756A10">
      <w:pPr>
        <w:spacing w:after="0" w:line="240" w:lineRule="auto"/>
        <w:rPr>
          <w:rFonts w:ascii="Verdana" w:eastAsia="Times New Roman" w:hAnsi="Verdana" w:cs="Times New Roman"/>
          <w:color w:val="0E101A"/>
          <w:sz w:val="20"/>
          <w:szCs w:val="20"/>
        </w:rPr>
      </w:pPr>
    </w:p>
    <w:p w14:paraId="7929EC26" w14:textId="638F700D" w:rsidR="00756A10" w:rsidRPr="00756A10" w:rsidRDefault="00756A10" w:rsidP="00756A10">
      <w:p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 xml:space="preserve">Merrilton is responsible for discovering and mitigating fraud and abuse and reporting such instances to the loan originator. Fraud detection tools have already </w:t>
      </w:r>
      <w:r w:rsidR="00595021" w:rsidRPr="00CA439A">
        <w:rPr>
          <w:rFonts w:ascii="Verdana" w:eastAsia="Times New Roman" w:hAnsi="Verdana" w:cs="Times New Roman"/>
          <w:color w:val="0E101A"/>
          <w:sz w:val="20"/>
          <w:szCs w:val="20"/>
        </w:rPr>
        <w:t>been</w:t>
      </w:r>
      <w:r w:rsidR="00595021">
        <w:rPr>
          <w:rFonts w:ascii="Verdana" w:eastAsia="Times New Roman" w:hAnsi="Verdana" w:cs="Times New Roman"/>
          <w:b/>
          <w:bCs/>
          <w:color w:val="0E101A"/>
          <w:sz w:val="20"/>
          <w:szCs w:val="20"/>
        </w:rPr>
        <w:t xml:space="preserve"> </w:t>
      </w:r>
      <w:r w:rsidRPr="00756A10">
        <w:rPr>
          <w:rFonts w:ascii="Verdana" w:eastAsia="Times New Roman" w:hAnsi="Verdana" w:cs="Times New Roman"/>
          <w:color w:val="0E101A"/>
          <w:sz w:val="20"/>
          <w:szCs w:val="20"/>
        </w:rPr>
        <w:t xml:space="preserve">constructed and are in use by the bank, but they require the collection of multiple additional data on the history and the behavior of the loan recipients. </w:t>
      </w:r>
    </w:p>
    <w:p w14:paraId="5855676A" w14:textId="77777777" w:rsidR="00756A10" w:rsidRPr="00756A10" w:rsidRDefault="00756A10" w:rsidP="00756A10">
      <w:pPr>
        <w:spacing w:after="0" w:line="240" w:lineRule="auto"/>
        <w:rPr>
          <w:rFonts w:ascii="Verdana" w:eastAsia="Times New Roman" w:hAnsi="Verdana" w:cs="Times New Roman"/>
          <w:color w:val="0E101A"/>
          <w:sz w:val="20"/>
          <w:szCs w:val="20"/>
        </w:rPr>
      </w:pPr>
    </w:p>
    <w:p w14:paraId="5F6D1FDA" w14:textId="55C6BA19" w:rsidR="00756A10" w:rsidRPr="00756A10" w:rsidRDefault="00756A10" w:rsidP="00756A10">
      <w:p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 xml:space="preserve">A small business will be eligible for another round of SBAP loans if it does not default on the initial two-month repayment of the current round of loans and when it has rehired </w:t>
      </w:r>
      <w:r w:rsidR="00730CE2">
        <w:rPr>
          <w:rFonts w:ascii="Verdana" w:eastAsia="Times New Roman" w:hAnsi="Verdana" w:cs="Times New Roman"/>
          <w:color w:val="0E101A"/>
          <w:sz w:val="20"/>
          <w:szCs w:val="20"/>
        </w:rPr>
        <w:t xml:space="preserve">at </w:t>
      </w:r>
      <w:r w:rsidRPr="00756A10">
        <w:rPr>
          <w:rFonts w:ascii="Verdana" w:eastAsia="Times New Roman" w:hAnsi="Verdana" w:cs="Times New Roman"/>
          <w:color w:val="0E101A"/>
          <w:sz w:val="20"/>
          <w:szCs w:val="20"/>
        </w:rPr>
        <w:t>least 50% of laid-off employees.</w:t>
      </w:r>
    </w:p>
    <w:p w14:paraId="786BDFEF" w14:textId="66DB20EA" w:rsidR="00756A10" w:rsidRDefault="00756A10" w:rsidP="00756A10">
      <w:pPr>
        <w:spacing w:after="0" w:line="240" w:lineRule="auto"/>
        <w:rPr>
          <w:rFonts w:ascii="Verdana" w:eastAsia="Times New Roman" w:hAnsi="Verdana" w:cs="Times New Roman"/>
          <w:color w:val="0E101A"/>
          <w:sz w:val="20"/>
          <w:szCs w:val="20"/>
        </w:rPr>
      </w:pPr>
    </w:p>
    <w:p w14:paraId="7F8A8DD7" w14:textId="6558F97D" w:rsidR="00322F5A" w:rsidRPr="00FE61D6" w:rsidRDefault="00322F5A" w:rsidP="00756A10">
      <w:pPr>
        <w:spacing w:after="0" w:line="240" w:lineRule="auto"/>
        <w:rPr>
          <w:rFonts w:ascii="Verdana" w:eastAsia="Times New Roman" w:hAnsi="Verdana" w:cs="Times New Roman"/>
          <w:color w:val="0E101A"/>
          <w:sz w:val="20"/>
          <w:szCs w:val="20"/>
          <w:u w:val="single"/>
        </w:rPr>
      </w:pPr>
      <w:r>
        <w:rPr>
          <w:rFonts w:ascii="Verdana" w:eastAsia="Times New Roman" w:hAnsi="Verdana" w:cs="Times New Roman"/>
          <w:color w:val="0E101A"/>
          <w:sz w:val="20"/>
          <w:szCs w:val="20"/>
          <w:u w:val="single"/>
        </w:rPr>
        <w:t>Next Steps</w:t>
      </w:r>
    </w:p>
    <w:p w14:paraId="3C76DF17" w14:textId="77777777" w:rsidR="00322F5A" w:rsidRPr="00756A10" w:rsidRDefault="00322F5A" w:rsidP="00756A10">
      <w:pPr>
        <w:spacing w:after="0" w:line="240" w:lineRule="auto"/>
        <w:rPr>
          <w:rFonts w:ascii="Verdana" w:eastAsia="Times New Roman" w:hAnsi="Verdana" w:cs="Times New Roman"/>
          <w:color w:val="0E101A"/>
          <w:sz w:val="20"/>
          <w:szCs w:val="20"/>
        </w:rPr>
      </w:pPr>
    </w:p>
    <w:p w14:paraId="4A983423" w14:textId="30465DCC" w:rsidR="00756A10" w:rsidRPr="00756A10" w:rsidRDefault="00756A10" w:rsidP="00756A10">
      <w:p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 xml:space="preserve">Merrilton’s leadership has asked a group of employees to survey the people, procedures, technology, and processes they use in their respective departments for possible deployment in support of the new SBAP program. The executives are meeting tomorrow to agree on </w:t>
      </w:r>
      <w:r w:rsidR="00595021">
        <w:rPr>
          <w:rFonts w:ascii="Verdana" w:eastAsia="Times New Roman" w:hAnsi="Verdana" w:cs="Times New Roman"/>
          <w:color w:val="0E101A"/>
          <w:sz w:val="20"/>
          <w:szCs w:val="20"/>
        </w:rPr>
        <w:t xml:space="preserve">the </w:t>
      </w:r>
      <w:r w:rsidRPr="00756A10">
        <w:rPr>
          <w:rFonts w:ascii="Verdana" w:eastAsia="Times New Roman" w:hAnsi="Verdana" w:cs="Times New Roman"/>
          <w:color w:val="0E101A"/>
          <w:sz w:val="20"/>
          <w:szCs w:val="20"/>
        </w:rPr>
        <w:t>next steps in the establishment of the new unit. The following agenda items will be discussed:</w:t>
      </w:r>
    </w:p>
    <w:p w14:paraId="4C14FC54" w14:textId="43F546EF" w:rsidR="00756A10" w:rsidRPr="00756A10" w:rsidRDefault="00386774" w:rsidP="00756A10">
      <w:pPr>
        <w:numPr>
          <w:ilvl w:val="0"/>
          <w:numId w:val="1"/>
        </w:numPr>
        <w:spacing w:after="0" w:line="240" w:lineRule="auto"/>
        <w:rPr>
          <w:rFonts w:ascii="Verdana" w:eastAsia="Times New Roman" w:hAnsi="Verdana" w:cs="Times New Roman"/>
          <w:color w:val="0E101A"/>
          <w:sz w:val="20"/>
          <w:szCs w:val="20"/>
        </w:rPr>
      </w:pPr>
      <w:r>
        <w:rPr>
          <w:rFonts w:ascii="Verdana" w:eastAsia="Times New Roman" w:hAnsi="Verdana" w:cs="Times New Roman"/>
          <w:color w:val="0E101A"/>
          <w:sz w:val="20"/>
          <w:szCs w:val="20"/>
        </w:rPr>
        <w:t>W</w:t>
      </w:r>
      <w:r w:rsidR="00756A10" w:rsidRPr="00756A10">
        <w:rPr>
          <w:rFonts w:ascii="Verdana" w:eastAsia="Times New Roman" w:hAnsi="Verdana" w:cs="Times New Roman"/>
          <w:color w:val="0E101A"/>
          <w:sz w:val="20"/>
          <w:szCs w:val="20"/>
        </w:rPr>
        <w:t xml:space="preserve">hether to establish a new unit that specializes in SBAP only or </w:t>
      </w:r>
      <w:r>
        <w:rPr>
          <w:rFonts w:ascii="Verdana" w:eastAsia="Times New Roman" w:hAnsi="Verdana" w:cs="Times New Roman"/>
          <w:color w:val="0E101A"/>
          <w:sz w:val="20"/>
          <w:szCs w:val="20"/>
        </w:rPr>
        <w:t xml:space="preserve">to </w:t>
      </w:r>
      <w:r w:rsidR="00756A10" w:rsidRPr="00756A10">
        <w:rPr>
          <w:rFonts w:ascii="Verdana" w:eastAsia="Times New Roman" w:hAnsi="Verdana" w:cs="Times New Roman"/>
          <w:color w:val="0E101A"/>
          <w:sz w:val="20"/>
          <w:szCs w:val="20"/>
        </w:rPr>
        <w:t>assign a current unit to support the program</w:t>
      </w:r>
    </w:p>
    <w:p w14:paraId="5C2105A5" w14:textId="5A23AB0C" w:rsidR="00756A10" w:rsidRPr="00756A10" w:rsidRDefault="00386774" w:rsidP="00756A10">
      <w:pPr>
        <w:numPr>
          <w:ilvl w:val="0"/>
          <w:numId w:val="1"/>
        </w:numPr>
        <w:spacing w:after="0" w:line="240" w:lineRule="auto"/>
        <w:rPr>
          <w:rFonts w:ascii="Verdana" w:eastAsia="Times New Roman" w:hAnsi="Verdana" w:cs="Times New Roman"/>
          <w:color w:val="0E101A"/>
          <w:sz w:val="20"/>
          <w:szCs w:val="20"/>
        </w:rPr>
      </w:pPr>
      <w:r>
        <w:rPr>
          <w:rFonts w:ascii="Verdana" w:eastAsia="Times New Roman" w:hAnsi="Verdana" w:cs="Times New Roman"/>
          <w:color w:val="0E101A"/>
          <w:sz w:val="20"/>
          <w:szCs w:val="20"/>
        </w:rPr>
        <w:t>W</w:t>
      </w:r>
      <w:r w:rsidR="00756A10" w:rsidRPr="00756A10">
        <w:rPr>
          <w:rFonts w:ascii="Verdana" w:eastAsia="Times New Roman" w:hAnsi="Verdana" w:cs="Times New Roman"/>
          <w:color w:val="0E101A"/>
          <w:sz w:val="20"/>
          <w:szCs w:val="20"/>
        </w:rPr>
        <w:t>hich unit will handle reporting to the Department of Treasury and validate reports</w:t>
      </w:r>
    </w:p>
    <w:p w14:paraId="79E270B1" w14:textId="0CC6FB47" w:rsidR="00756A10" w:rsidRPr="00756A10" w:rsidRDefault="00756A10" w:rsidP="00756A10">
      <w:pPr>
        <w:numPr>
          <w:ilvl w:val="0"/>
          <w:numId w:val="1"/>
        </w:num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Reuse of existing infrastructure to support SBAP-related activities</w:t>
      </w:r>
    </w:p>
    <w:p w14:paraId="7F0A29C3" w14:textId="2565E365" w:rsidR="00756A10" w:rsidRPr="00756A10" w:rsidRDefault="00386774" w:rsidP="00756A10">
      <w:pPr>
        <w:numPr>
          <w:ilvl w:val="0"/>
          <w:numId w:val="1"/>
        </w:numPr>
        <w:spacing w:after="0" w:line="240" w:lineRule="auto"/>
        <w:rPr>
          <w:rFonts w:ascii="Verdana" w:eastAsia="Times New Roman" w:hAnsi="Verdana" w:cs="Times New Roman"/>
          <w:color w:val="0E101A"/>
          <w:sz w:val="20"/>
          <w:szCs w:val="20"/>
        </w:rPr>
      </w:pPr>
      <w:r>
        <w:rPr>
          <w:rFonts w:ascii="Verdana" w:eastAsia="Times New Roman" w:hAnsi="Verdana" w:cs="Times New Roman"/>
          <w:color w:val="0E101A"/>
          <w:sz w:val="20"/>
          <w:szCs w:val="20"/>
        </w:rPr>
        <w:t>T</w:t>
      </w:r>
      <w:r w:rsidR="00756A10" w:rsidRPr="00756A10">
        <w:rPr>
          <w:rFonts w:ascii="Verdana" w:eastAsia="Times New Roman" w:hAnsi="Verdana" w:cs="Times New Roman"/>
          <w:color w:val="0E101A"/>
          <w:sz w:val="20"/>
          <w:szCs w:val="20"/>
        </w:rPr>
        <w:t>he need for additional infrastructure to support the new loan program</w:t>
      </w:r>
    </w:p>
    <w:p w14:paraId="43F11A98" w14:textId="31652F50" w:rsidR="00756A10" w:rsidRPr="00756A10" w:rsidRDefault="00386774" w:rsidP="00756A10">
      <w:pPr>
        <w:numPr>
          <w:ilvl w:val="0"/>
          <w:numId w:val="1"/>
        </w:numPr>
        <w:spacing w:after="0" w:line="240" w:lineRule="auto"/>
        <w:rPr>
          <w:rFonts w:ascii="Verdana" w:eastAsia="Times New Roman" w:hAnsi="Verdana" w:cs="Times New Roman"/>
          <w:color w:val="0E101A"/>
          <w:sz w:val="20"/>
          <w:szCs w:val="20"/>
        </w:rPr>
      </w:pPr>
      <w:r>
        <w:rPr>
          <w:rFonts w:ascii="Verdana" w:eastAsia="Times New Roman" w:hAnsi="Verdana" w:cs="Times New Roman"/>
          <w:color w:val="0E101A"/>
          <w:sz w:val="20"/>
          <w:szCs w:val="20"/>
        </w:rPr>
        <w:t>I</w:t>
      </w:r>
      <w:r w:rsidR="00756A10" w:rsidRPr="00756A10">
        <w:rPr>
          <w:rFonts w:ascii="Verdana" w:eastAsia="Times New Roman" w:hAnsi="Verdana" w:cs="Times New Roman"/>
          <w:color w:val="0E101A"/>
          <w:sz w:val="20"/>
          <w:szCs w:val="20"/>
        </w:rPr>
        <w:t>f current tools for data collection, storage, and analytics should be used to support the operation of SBAP</w:t>
      </w:r>
    </w:p>
    <w:p w14:paraId="139623B2" w14:textId="27E082C5" w:rsidR="00756A10" w:rsidRPr="00756A10" w:rsidRDefault="00756A10" w:rsidP="00756A10">
      <w:pPr>
        <w:numPr>
          <w:ilvl w:val="0"/>
          <w:numId w:val="1"/>
        </w:num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Updating current loan application evaluation models</w:t>
      </w:r>
    </w:p>
    <w:p w14:paraId="01E41B6A" w14:textId="4C1B1328" w:rsidR="00756A10" w:rsidRPr="00756A10" w:rsidRDefault="00756A10" w:rsidP="00756A10">
      <w:pPr>
        <w:numPr>
          <w:ilvl w:val="0"/>
          <w:numId w:val="1"/>
        </w:num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Risks from updating existing models on default rate and eligibility for the next round the federal program</w:t>
      </w:r>
    </w:p>
    <w:p w14:paraId="26FC6A61" w14:textId="2AC4D4BC" w:rsidR="00756A10" w:rsidRPr="00756A10" w:rsidRDefault="00756A10" w:rsidP="00756A10">
      <w:pPr>
        <w:numPr>
          <w:ilvl w:val="0"/>
          <w:numId w:val="1"/>
        </w:num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The criticality of SBAP data and storage modality solutions</w:t>
      </w:r>
    </w:p>
    <w:p w14:paraId="3C89DFE9" w14:textId="1D371D11" w:rsidR="00756A10" w:rsidRPr="00756A10" w:rsidRDefault="00756A10" w:rsidP="00756A10">
      <w:pPr>
        <w:numPr>
          <w:ilvl w:val="0"/>
          <w:numId w:val="1"/>
        </w:num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Disaster recovery consideration of SBAP-related data</w:t>
      </w:r>
    </w:p>
    <w:p w14:paraId="1BC9F569" w14:textId="6662D96F" w:rsidR="00756A10" w:rsidRPr="00756A10" w:rsidRDefault="00756A10" w:rsidP="00756A10">
      <w:pPr>
        <w:numPr>
          <w:ilvl w:val="0"/>
          <w:numId w:val="1"/>
        </w:num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Applicable laws around the collection and use of SBAP data and compliance</w:t>
      </w:r>
    </w:p>
    <w:p w14:paraId="5A39BBE3" w14:textId="1CBD0A82" w:rsidR="00A77F02" w:rsidRPr="00756A10" w:rsidRDefault="00756A10" w:rsidP="00756A10">
      <w:pPr>
        <w:numPr>
          <w:ilvl w:val="0"/>
          <w:numId w:val="1"/>
        </w:numPr>
        <w:spacing w:after="0" w:line="240" w:lineRule="auto"/>
        <w:rPr>
          <w:rFonts w:ascii="Verdana" w:eastAsia="Times New Roman" w:hAnsi="Verdana" w:cs="Times New Roman"/>
          <w:color w:val="0E101A"/>
          <w:sz w:val="20"/>
          <w:szCs w:val="20"/>
        </w:rPr>
      </w:pPr>
      <w:r w:rsidRPr="00756A10">
        <w:rPr>
          <w:rFonts w:ascii="Verdana" w:eastAsia="Times New Roman" w:hAnsi="Verdana" w:cs="Times New Roman"/>
          <w:color w:val="0E101A"/>
          <w:sz w:val="20"/>
          <w:szCs w:val="20"/>
        </w:rPr>
        <w:t>Other observations</w:t>
      </w:r>
    </w:p>
    <w:p w14:paraId="72A3D3EC" w14:textId="79D89925" w:rsidR="00095BF9" w:rsidRPr="00B75CB2" w:rsidRDefault="00095BF9" w:rsidP="00210DDD">
      <w:pPr>
        <w:rPr>
          <w:rFonts w:ascii="Verdana" w:hAnsi="Verdana" w:cs="Arial"/>
          <w:sz w:val="20"/>
          <w:szCs w:val="20"/>
        </w:rPr>
      </w:pPr>
    </w:p>
    <w:sectPr w:rsidR="00095BF9" w:rsidRPr="00B75CB2" w:rsidSect="00A77F02">
      <w:type w:val="continuous"/>
      <w:pgSz w:w="12240" w:h="15840"/>
      <w:pgMar w:top="1440" w:right="1440" w:bottom="1440" w:left="1440" w:header="72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BD655" w14:textId="77777777" w:rsidR="004A7BB7" w:rsidRDefault="004A7BB7" w:rsidP="00862194">
      <w:pPr>
        <w:spacing w:after="0" w:line="240" w:lineRule="auto"/>
      </w:pPr>
      <w:r>
        <w:separator/>
      </w:r>
    </w:p>
  </w:endnote>
  <w:endnote w:type="continuationSeparator" w:id="0">
    <w:p w14:paraId="11CDBDEE" w14:textId="77777777" w:rsidR="004A7BB7" w:rsidRDefault="004A7BB7" w:rsidP="0086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9871401"/>
      <w:docPartObj>
        <w:docPartGallery w:val="Page Numbers (Bottom of Page)"/>
        <w:docPartUnique/>
      </w:docPartObj>
    </w:sdtPr>
    <w:sdtEndPr>
      <w:rPr>
        <w:rFonts w:ascii="Verdana" w:hAnsi="Verdana" w:cs="Arial"/>
        <w:noProof/>
        <w:color w:val="97999B"/>
        <w:spacing w:val="20"/>
        <w:sz w:val="18"/>
      </w:rPr>
    </w:sdtEndPr>
    <w:sdtContent>
      <w:p w14:paraId="0D0B940D" w14:textId="77777777" w:rsidR="00B75CB2" w:rsidRDefault="6EB2D883" w:rsidP="00A1563C">
        <w:pPr>
          <w:pStyle w:val="Footer"/>
          <w:ind w:left="-360"/>
          <w:jc w:val="center"/>
        </w:pPr>
        <w:r>
          <w:rPr>
            <w:noProof/>
          </w:rPr>
          <w:drawing>
            <wp:inline distT="0" distB="0" distL="0" distR="0" wp14:anchorId="36C646A1" wp14:editId="214B53E3">
              <wp:extent cx="4326262" cy="480696"/>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4326262" cy="480696"/>
                      </a:xfrm>
                      <a:prstGeom prst="rect">
                        <a:avLst/>
                      </a:prstGeom>
                    </pic:spPr>
                  </pic:pic>
                </a:graphicData>
              </a:graphic>
            </wp:inline>
          </w:drawing>
        </w:r>
      </w:p>
      <w:p w14:paraId="5CA1251C" w14:textId="77777777" w:rsidR="00862194" w:rsidRPr="00C44C87" w:rsidRDefault="00A1563C" w:rsidP="00A1563C">
        <w:pPr>
          <w:pStyle w:val="Footer"/>
          <w:spacing w:before="120"/>
          <w:jc w:val="center"/>
          <w:rPr>
            <w:rFonts w:ascii="Verdana" w:hAnsi="Verdana" w:cs="Arial"/>
            <w:color w:val="97999B"/>
            <w:spacing w:val="20"/>
            <w:sz w:val="18"/>
          </w:rPr>
        </w:pPr>
        <w:r w:rsidRPr="00C44C87">
          <w:rPr>
            <w:rFonts w:ascii="Verdana" w:hAnsi="Verdana" w:cs="Arial"/>
            <w:color w:val="97999B"/>
            <w:spacing w:val="20"/>
            <w:sz w:val="18"/>
          </w:rPr>
          <w:t xml:space="preserve">PAGE </w:t>
        </w:r>
        <w:r w:rsidR="00862194" w:rsidRPr="00C44C87">
          <w:rPr>
            <w:rFonts w:ascii="Verdana" w:hAnsi="Verdana" w:cs="Arial"/>
            <w:color w:val="97999B"/>
            <w:spacing w:val="20"/>
            <w:sz w:val="18"/>
          </w:rPr>
          <w:fldChar w:fldCharType="begin"/>
        </w:r>
        <w:r w:rsidR="00862194" w:rsidRPr="00C44C87">
          <w:rPr>
            <w:rFonts w:ascii="Verdana" w:hAnsi="Verdana" w:cs="Arial"/>
            <w:color w:val="97999B"/>
            <w:spacing w:val="20"/>
            <w:sz w:val="18"/>
          </w:rPr>
          <w:instrText xml:space="preserve"> PAGE   \* MERGEFORMAT </w:instrText>
        </w:r>
        <w:r w:rsidR="00862194" w:rsidRPr="00C44C87">
          <w:rPr>
            <w:rFonts w:ascii="Verdana" w:hAnsi="Verdana" w:cs="Arial"/>
            <w:color w:val="97999B"/>
            <w:spacing w:val="20"/>
            <w:sz w:val="18"/>
          </w:rPr>
          <w:fldChar w:fldCharType="separate"/>
        </w:r>
        <w:r w:rsidR="00FA34C5">
          <w:rPr>
            <w:rFonts w:ascii="Verdana" w:hAnsi="Verdana" w:cs="Arial"/>
            <w:noProof/>
            <w:color w:val="97999B"/>
            <w:spacing w:val="20"/>
            <w:sz w:val="18"/>
          </w:rPr>
          <w:t>1</w:t>
        </w:r>
        <w:r w:rsidR="00862194" w:rsidRPr="00C44C87">
          <w:rPr>
            <w:rFonts w:ascii="Verdana" w:hAnsi="Verdana" w:cs="Arial"/>
            <w:noProof/>
            <w:color w:val="97999B"/>
            <w:spacing w:val="20"/>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5937662"/>
      <w:docPartObj>
        <w:docPartGallery w:val="Page Numbers (Bottom of Page)"/>
        <w:docPartUnique/>
      </w:docPartObj>
    </w:sdtPr>
    <w:sdtEndPr>
      <w:rPr>
        <w:rFonts w:ascii="Verdana" w:hAnsi="Verdana" w:cs="Arial"/>
        <w:noProof/>
        <w:color w:val="97999B"/>
        <w:spacing w:val="20"/>
        <w:sz w:val="18"/>
      </w:rPr>
    </w:sdtEndPr>
    <w:sdtContent>
      <w:p w14:paraId="3DEEC669" w14:textId="77777777" w:rsidR="00B27A03" w:rsidRDefault="6EB2D883" w:rsidP="00B27A03">
        <w:pPr>
          <w:pStyle w:val="Footer"/>
          <w:ind w:left="-360"/>
          <w:jc w:val="center"/>
        </w:pPr>
        <w:r>
          <w:rPr>
            <w:noProof/>
          </w:rPr>
          <w:drawing>
            <wp:inline distT="0" distB="0" distL="0" distR="0" wp14:anchorId="3D3712A5" wp14:editId="55D865C2">
              <wp:extent cx="4326262" cy="48069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326262" cy="480696"/>
                      </a:xfrm>
                      <a:prstGeom prst="rect">
                        <a:avLst/>
                      </a:prstGeom>
                    </pic:spPr>
                  </pic:pic>
                </a:graphicData>
              </a:graphic>
            </wp:inline>
          </w:drawing>
        </w:r>
      </w:p>
      <w:p w14:paraId="4F8F7B13" w14:textId="77777777" w:rsidR="00B27A03" w:rsidRPr="00C44C87" w:rsidRDefault="00B27A03" w:rsidP="00B27A03">
        <w:pPr>
          <w:pStyle w:val="Footer"/>
          <w:spacing w:before="120"/>
          <w:jc w:val="center"/>
          <w:rPr>
            <w:rFonts w:ascii="Verdana" w:hAnsi="Verdana" w:cs="Arial"/>
            <w:color w:val="97999B"/>
            <w:spacing w:val="20"/>
            <w:sz w:val="18"/>
          </w:rPr>
        </w:pPr>
        <w:r w:rsidRPr="00C44C87">
          <w:rPr>
            <w:rFonts w:ascii="Verdana" w:hAnsi="Verdana" w:cs="Arial"/>
            <w:color w:val="97999B"/>
            <w:spacing w:val="20"/>
            <w:sz w:val="18"/>
          </w:rPr>
          <w:t xml:space="preserve">PAGE </w:t>
        </w:r>
        <w:r w:rsidRPr="00C44C87">
          <w:rPr>
            <w:rFonts w:ascii="Verdana" w:hAnsi="Verdana" w:cs="Arial"/>
            <w:color w:val="97999B"/>
            <w:spacing w:val="20"/>
            <w:sz w:val="18"/>
          </w:rPr>
          <w:fldChar w:fldCharType="begin"/>
        </w:r>
        <w:r w:rsidRPr="00C44C87">
          <w:rPr>
            <w:rFonts w:ascii="Verdana" w:hAnsi="Verdana" w:cs="Arial"/>
            <w:color w:val="97999B"/>
            <w:spacing w:val="20"/>
            <w:sz w:val="18"/>
          </w:rPr>
          <w:instrText xml:space="preserve"> PAGE   \* MERGEFORMAT </w:instrText>
        </w:r>
        <w:r w:rsidRPr="00C44C87">
          <w:rPr>
            <w:rFonts w:ascii="Verdana" w:hAnsi="Verdana" w:cs="Arial"/>
            <w:color w:val="97999B"/>
            <w:spacing w:val="20"/>
            <w:sz w:val="18"/>
          </w:rPr>
          <w:fldChar w:fldCharType="separate"/>
        </w:r>
        <w:r w:rsidR="00403D1C">
          <w:rPr>
            <w:rFonts w:ascii="Verdana" w:hAnsi="Verdana" w:cs="Arial"/>
            <w:noProof/>
            <w:color w:val="97999B"/>
            <w:spacing w:val="20"/>
            <w:sz w:val="18"/>
          </w:rPr>
          <w:t>1</w:t>
        </w:r>
        <w:r w:rsidRPr="00C44C87">
          <w:rPr>
            <w:rFonts w:ascii="Verdana" w:hAnsi="Verdana" w:cs="Arial"/>
            <w:noProof/>
            <w:color w:val="97999B"/>
            <w:spacing w:val="20"/>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3CCEA" w14:textId="77777777" w:rsidR="004A7BB7" w:rsidRDefault="004A7BB7" w:rsidP="00862194">
      <w:pPr>
        <w:spacing w:after="0" w:line="240" w:lineRule="auto"/>
      </w:pPr>
      <w:r>
        <w:separator/>
      </w:r>
    </w:p>
  </w:footnote>
  <w:footnote w:type="continuationSeparator" w:id="0">
    <w:p w14:paraId="4BD70324" w14:textId="77777777" w:rsidR="004A7BB7" w:rsidRDefault="004A7BB7" w:rsidP="00862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F5140" w14:textId="3737BCA1" w:rsidR="00A77F02" w:rsidRPr="00360B78" w:rsidRDefault="00360B78" w:rsidP="00360B78">
    <w:pPr>
      <w:pStyle w:val="Header"/>
      <w:jc w:val="both"/>
    </w:pPr>
    <w:r>
      <w:rPr>
        <w:rFonts w:ascii="Verdana" w:eastAsiaTheme="majorEastAsia" w:hAnsi="Verdana" w:cstheme="majorBidi"/>
        <w:i/>
        <w:sz w:val="20"/>
        <w:szCs w:val="20"/>
      </w:rPr>
      <w:t>QCM1: Data and Information Governance Banking Analysis</w:t>
    </w:r>
    <w:r>
      <w:rPr>
        <w:rFonts w:ascii="Verdana" w:eastAsiaTheme="majorEastAsia" w:hAnsi="Verdana" w:cstheme="majorBidi"/>
        <w:i/>
        <w:sz w:val="20"/>
        <w:szCs w:val="20"/>
      </w:rPr>
      <w:tab/>
    </w:r>
    <w:r w:rsidRPr="00360B78">
      <w:rPr>
        <w:rFonts w:ascii="Verdana" w:eastAsiaTheme="majorEastAsia" w:hAnsi="Verdana" w:cstheme="majorBidi"/>
        <w:iCs/>
        <w:sz w:val="20"/>
        <w:szCs w:val="20"/>
      </w:rPr>
      <w:t>Merrilton Bank Case Study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1AA30" w14:textId="322AB180" w:rsidR="00B27A03" w:rsidRDefault="00756A10" w:rsidP="00382FDC">
    <w:pPr>
      <w:pStyle w:val="Header"/>
      <w:jc w:val="both"/>
    </w:pPr>
    <w:r>
      <w:rPr>
        <w:rFonts w:ascii="Verdana" w:eastAsiaTheme="majorEastAsia" w:hAnsi="Verdana" w:cstheme="majorBidi"/>
        <w:i/>
        <w:sz w:val="20"/>
        <w:szCs w:val="20"/>
      </w:rPr>
      <w:t>QCM1: Data and Information Governance Banking Analysis</w:t>
    </w:r>
    <w:r w:rsidR="00382FDC">
      <w:rPr>
        <w:rFonts w:ascii="Verdana" w:eastAsiaTheme="majorEastAsia" w:hAnsi="Verdana" w:cstheme="majorBidi"/>
        <w:i/>
        <w:sz w:val="20"/>
        <w:szCs w:val="20"/>
      </w:rPr>
      <w:tab/>
      <w:t>Merrilton Bank Case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EE4F4A"/>
    <w:multiLevelType w:val="multilevel"/>
    <w:tmpl w:val="3028D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94"/>
    <w:rsid w:val="00041DAC"/>
    <w:rsid w:val="00087D65"/>
    <w:rsid w:val="000937DA"/>
    <w:rsid w:val="00095BF9"/>
    <w:rsid w:val="000D27A3"/>
    <w:rsid w:val="00130FE3"/>
    <w:rsid w:val="00134E54"/>
    <w:rsid w:val="00185872"/>
    <w:rsid w:val="001C4C5B"/>
    <w:rsid w:val="00210DDD"/>
    <w:rsid w:val="00217A8C"/>
    <w:rsid w:val="002250F8"/>
    <w:rsid w:val="00273D64"/>
    <w:rsid w:val="00300618"/>
    <w:rsid w:val="00322F5A"/>
    <w:rsid w:val="003509BB"/>
    <w:rsid w:val="00360B78"/>
    <w:rsid w:val="00362206"/>
    <w:rsid w:val="00382FDC"/>
    <w:rsid w:val="00386774"/>
    <w:rsid w:val="00392BFC"/>
    <w:rsid w:val="003E39E8"/>
    <w:rsid w:val="00403D1C"/>
    <w:rsid w:val="004678E4"/>
    <w:rsid w:val="004759B9"/>
    <w:rsid w:val="00494926"/>
    <w:rsid w:val="004A6F66"/>
    <w:rsid w:val="004A7BB7"/>
    <w:rsid w:val="004B53A2"/>
    <w:rsid w:val="004E3314"/>
    <w:rsid w:val="0051073C"/>
    <w:rsid w:val="0054594A"/>
    <w:rsid w:val="00551015"/>
    <w:rsid w:val="005574B0"/>
    <w:rsid w:val="00571BEF"/>
    <w:rsid w:val="00595021"/>
    <w:rsid w:val="005B257E"/>
    <w:rsid w:val="005D1588"/>
    <w:rsid w:val="005D1642"/>
    <w:rsid w:val="006B1CC2"/>
    <w:rsid w:val="006B2640"/>
    <w:rsid w:val="006B3189"/>
    <w:rsid w:val="00714FD0"/>
    <w:rsid w:val="00730CE2"/>
    <w:rsid w:val="00756A10"/>
    <w:rsid w:val="007A49ED"/>
    <w:rsid w:val="007E681E"/>
    <w:rsid w:val="0085395A"/>
    <w:rsid w:val="00862194"/>
    <w:rsid w:val="00864786"/>
    <w:rsid w:val="00873EBB"/>
    <w:rsid w:val="008A6767"/>
    <w:rsid w:val="00904F79"/>
    <w:rsid w:val="00932A87"/>
    <w:rsid w:val="009475C5"/>
    <w:rsid w:val="00961912"/>
    <w:rsid w:val="00A10D4C"/>
    <w:rsid w:val="00A12A2F"/>
    <w:rsid w:val="00A12D04"/>
    <w:rsid w:val="00A1563C"/>
    <w:rsid w:val="00A37E64"/>
    <w:rsid w:val="00A47742"/>
    <w:rsid w:val="00A77F02"/>
    <w:rsid w:val="00A949AC"/>
    <w:rsid w:val="00AA0157"/>
    <w:rsid w:val="00AE6AFF"/>
    <w:rsid w:val="00AE7710"/>
    <w:rsid w:val="00B27A03"/>
    <w:rsid w:val="00B40ECB"/>
    <w:rsid w:val="00B4310E"/>
    <w:rsid w:val="00B75CB2"/>
    <w:rsid w:val="00B83B04"/>
    <w:rsid w:val="00B85B8A"/>
    <w:rsid w:val="00BC4523"/>
    <w:rsid w:val="00C34A49"/>
    <w:rsid w:val="00C44C87"/>
    <w:rsid w:val="00CA439A"/>
    <w:rsid w:val="00CF3E90"/>
    <w:rsid w:val="00D5690F"/>
    <w:rsid w:val="00D72DAB"/>
    <w:rsid w:val="00D73CD2"/>
    <w:rsid w:val="00D751EA"/>
    <w:rsid w:val="00D95E35"/>
    <w:rsid w:val="00E313C3"/>
    <w:rsid w:val="00E661E4"/>
    <w:rsid w:val="00E85DF1"/>
    <w:rsid w:val="00E934E3"/>
    <w:rsid w:val="00EE3052"/>
    <w:rsid w:val="00F0624F"/>
    <w:rsid w:val="00F23B28"/>
    <w:rsid w:val="00F33CD9"/>
    <w:rsid w:val="00F37B94"/>
    <w:rsid w:val="00F855CC"/>
    <w:rsid w:val="00FA34C5"/>
    <w:rsid w:val="00FE61D6"/>
    <w:rsid w:val="03F99409"/>
    <w:rsid w:val="1075E51D"/>
    <w:rsid w:val="48119887"/>
    <w:rsid w:val="64F7E310"/>
    <w:rsid w:val="6EB2D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85307"/>
  <w15:chartTrackingRefBased/>
  <w15:docId w15:val="{237132FA-B28D-434C-ADBB-1869113A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94"/>
  </w:style>
  <w:style w:type="paragraph" w:styleId="Footer">
    <w:name w:val="footer"/>
    <w:basedOn w:val="Normal"/>
    <w:link w:val="FooterChar"/>
    <w:uiPriority w:val="99"/>
    <w:unhideWhenUsed/>
    <w:rsid w:val="0086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194"/>
  </w:style>
  <w:style w:type="paragraph" w:styleId="BalloonText">
    <w:name w:val="Balloon Text"/>
    <w:basedOn w:val="Normal"/>
    <w:link w:val="BalloonTextChar"/>
    <w:uiPriority w:val="99"/>
    <w:semiHidden/>
    <w:unhideWhenUsed/>
    <w:rsid w:val="00756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A10"/>
    <w:rPr>
      <w:rFonts w:ascii="Segoe UI" w:hAnsi="Segoe UI" w:cs="Segoe UI"/>
      <w:sz w:val="18"/>
      <w:szCs w:val="18"/>
    </w:rPr>
  </w:style>
  <w:style w:type="character" w:styleId="CommentReference">
    <w:name w:val="annotation reference"/>
    <w:basedOn w:val="DefaultParagraphFont"/>
    <w:uiPriority w:val="99"/>
    <w:semiHidden/>
    <w:unhideWhenUsed/>
    <w:rsid w:val="00D751EA"/>
    <w:rPr>
      <w:sz w:val="16"/>
      <w:szCs w:val="16"/>
    </w:rPr>
  </w:style>
  <w:style w:type="paragraph" w:styleId="CommentText">
    <w:name w:val="annotation text"/>
    <w:basedOn w:val="Normal"/>
    <w:link w:val="CommentTextChar"/>
    <w:uiPriority w:val="99"/>
    <w:semiHidden/>
    <w:unhideWhenUsed/>
    <w:rsid w:val="00D751EA"/>
    <w:pPr>
      <w:spacing w:line="240" w:lineRule="auto"/>
    </w:pPr>
    <w:rPr>
      <w:sz w:val="20"/>
      <w:szCs w:val="20"/>
    </w:rPr>
  </w:style>
  <w:style w:type="character" w:customStyle="1" w:styleId="CommentTextChar">
    <w:name w:val="Comment Text Char"/>
    <w:basedOn w:val="DefaultParagraphFont"/>
    <w:link w:val="CommentText"/>
    <w:uiPriority w:val="99"/>
    <w:semiHidden/>
    <w:rsid w:val="00D751EA"/>
    <w:rPr>
      <w:sz w:val="20"/>
      <w:szCs w:val="20"/>
    </w:rPr>
  </w:style>
  <w:style w:type="paragraph" w:styleId="CommentSubject">
    <w:name w:val="annotation subject"/>
    <w:basedOn w:val="CommentText"/>
    <w:next w:val="CommentText"/>
    <w:link w:val="CommentSubjectChar"/>
    <w:uiPriority w:val="99"/>
    <w:semiHidden/>
    <w:unhideWhenUsed/>
    <w:rsid w:val="00D751EA"/>
    <w:rPr>
      <w:b/>
      <w:bCs/>
    </w:rPr>
  </w:style>
  <w:style w:type="character" w:customStyle="1" w:styleId="CommentSubjectChar">
    <w:name w:val="Comment Subject Char"/>
    <w:basedOn w:val="CommentTextChar"/>
    <w:link w:val="CommentSubject"/>
    <w:uiPriority w:val="99"/>
    <w:semiHidden/>
    <w:rsid w:val="00D751EA"/>
    <w:rPr>
      <w:b/>
      <w:bCs/>
      <w:sz w:val="20"/>
      <w:szCs w:val="20"/>
    </w:rPr>
  </w:style>
  <w:style w:type="paragraph" w:styleId="Revision">
    <w:name w:val="Revision"/>
    <w:hidden/>
    <w:uiPriority w:val="99"/>
    <w:semiHidden/>
    <w:rsid w:val="003E39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Attachment Title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9F2A75005F2D43B30369DAED2CCB1C" ma:contentTypeVersion="40" ma:contentTypeDescription="Create a new document." ma:contentTypeScope="" ma:versionID="67abd11da167d8eab610c259a823e4c7">
  <xsd:schema xmlns:xsd="http://www.w3.org/2001/XMLSchema" xmlns:xs="http://www.w3.org/2001/XMLSchema" xmlns:p="http://schemas.microsoft.com/office/2006/metadata/properties" xmlns:ns1="http://schemas.microsoft.com/sharepoint/v3" xmlns:ns2="0feec74c-ecc7-44c3-9c64-3623cf89ed41" xmlns:ns3="1f707338-ea0f-4fe5-baee-59b996692b22" targetNamespace="http://schemas.microsoft.com/office/2006/metadata/properties" ma:root="true" ma:fieldsID="1d3ab84303ed41503c975572ff37e680" ns1:_="" ns2:_="" ns3:_="">
    <xsd:import namespace="http://schemas.microsoft.com/sharepoint/v3"/>
    <xsd:import namespace="0feec74c-ecc7-44c3-9c64-3623cf89ed41"/>
    <xsd:import namespace="1f707338-ea0f-4fe5-baee-59b996692b22"/>
    <xsd:element name="properties">
      <xsd:complexType>
        <xsd:sequence>
          <xsd:element name="documentManagement">
            <xsd:complexType>
              <xsd:all>
                <xsd:element ref="ns2:SME" minOccurs="0"/>
                <xsd:element ref="ns2:Editor0" minOccurs="0"/>
                <xsd:element ref="ns2:Assessment_x0020_Type" minOccurs="0"/>
                <xsd:element ref="ns2:Step_x0020_Completed" minOccurs="0"/>
                <xsd:element ref="ns2:Performance_x0020_Steps_x0020_Completed" minOccurs="0"/>
                <xsd:element ref="ns2:Publication_x0020_Date" minOccurs="0"/>
                <xsd:element ref="ns2:Launch_x0020_Date" minOccurs="0"/>
                <xsd:element ref="ns2:Vendor" minOccurs="0"/>
                <xsd:element ref="ns2:Doc_x0020_Type" minOccurs="0"/>
                <xsd:element ref="ns2:Course_x0020_code" minOccurs="0"/>
                <xsd:element ref="ns2:Discipline" minOccurs="0"/>
                <xsd:element ref="ns2:Course_x0020_number" minOccurs="0"/>
                <xsd:element ref="ns2:Course_x0020_title" minOccurs="0"/>
                <xsd:element ref="ns2:Course_x0020_short_x0020_name" minOccurs="0"/>
                <xsd:element ref="ns2:d5fh" minOccurs="0"/>
                <xsd:element ref="ns2:qrac"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ec74c-ecc7-44c3-9c64-3623cf89ed41" elementFormDefault="qualified">
    <xsd:import namespace="http://schemas.microsoft.com/office/2006/documentManagement/types"/>
    <xsd:import namespace="http://schemas.microsoft.com/office/infopath/2007/PartnerControls"/>
    <xsd:element name="SME" ma:index="8" nillable="true" ma:displayName="SME" ma:internalName="SME" ma:readOnly="false">
      <xsd:simpleType>
        <xsd:restriction base="dms:Text">
          <xsd:maxLength value="255"/>
        </xsd:restriction>
      </xsd:simpleType>
    </xsd:element>
    <xsd:element name="Editor0" ma:index="9" nillable="true" ma:displayName="Editor" ma:list="UserInfo" ma:SharePointGroup="0" ma:internalName="Edit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essment_x0020_Type" ma:index="10" nillable="true" ma:displayName="Assessment Type" ma:default="Objective" ma:description="Either for objective or performance assessments" ma:internalName="Assessment_x0020_Type" ma:readOnly="false">
      <xsd:complexType>
        <xsd:complexContent>
          <xsd:extension base="dms:MultiChoice">
            <xsd:sequence>
              <xsd:element name="Value" maxOccurs="unbounded" minOccurs="0" nillable="true">
                <xsd:simpleType>
                  <xsd:restriction base="dms:Choice">
                    <xsd:enumeration value="Objective"/>
                    <xsd:enumeration value="Performance"/>
                  </xsd:restriction>
                </xsd:simpleType>
              </xsd:element>
            </xsd:sequence>
          </xsd:extension>
        </xsd:complexContent>
      </xsd:complexType>
    </xsd:element>
    <xsd:element name="Step_x0020_Completed" ma:index="11" nillable="true" ma:displayName="OA Steps Completed" ma:default="N/A" ma:description="Where the document is currently in the process." ma:internalName="Step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Item Writing"/>
                        <xsd:enumeration value="Psychometric Edit"/>
                        <xsd:enumeration value="Accuracy Review"/>
                        <xsd:enumeration value="Standard Setting"/>
                        <xsd:enumeration value="ADM Review"/>
                        <xsd:enumeration value="PDM Final Approval"/>
                        <xsd:enumeration value="Final Edit"/>
                        <xsd:enumeration value="Publication"/>
                        <xsd:enumeration value="Published"/>
                      </xsd:restriction>
                    </xsd:simpleType>
                  </xsd:union>
                </xsd:simpleType>
              </xsd:element>
            </xsd:sequence>
          </xsd:extension>
        </xsd:complexContent>
      </xsd:complexType>
    </xsd:element>
    <xsd:element name="Performance_x0020_Steps_x0020_Completed" ma:index="12" nillable="true" ma:displayName="PA Steps Completed" ma:default="N/A" ma:description="Where the performance assessment is currently in the process." ma:internalName="Performance_x0020_Steps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Design Notes"/>
                        <xsd:enumeration value="Design Integrity"/>
                        <xsd:enumeration value="Tech Edit"/>
                        <xsd:enumeration value="QA1"/>
                        <xsd:enumeration value="Senior Edit"/>
                        <xsd:enumeration value="Student Focus Group"/>
                        <xsd:enumeration value="QA2"/>
                        <xsd:enumeration value="PDM Approval"/>
                        <xsd:enumeration value="Publication"/>
                        <xsd:enumeration value="Published"/>
                      </xsd:restriction>
                    </xsd:simpleType>
                  </xsd:union>
                </xsd:simpleType>
              </xsd:element>
            </xsd:sequence>
          </xsd:extension>
        </xsd:complexContent>
      </xsd:complexType>
    </xsd:element>
    <xsd:element name="Publication_x0020_Date" ma:index="13" nillable="true" ma:displayName="Publication Date" ma:format="DateOnly" ma:internalName="Publication_x0020_Date" ma:readOnly="false">
      <xsd:simpleType>
        <xsd:restriction base="dms:DateTime"/>
      </xsd:simpleType>
    </xsd:element>
    <xsd:element name="Launch_x0020_Date" ma:index="14" nillable="true" ma:displayName="Launch Date" ma:format="DateOnly" ma:internalName="Launch_x0020_Date" ma:readOnly="false">
      <xsd:simpleType>
        <xsd:restriction base="dms:DateTime"/>
      </xsd:simpleType>
    </xsd:element>
    <xsd:element name="Vendor" ma:index="15" nillable="true" ma:displayName="Vendor" ma:default="N/A" ma:format="Dropdown" ma:internalName="Vendor" ma:readOnly="false">
      <xsd:simpleType>
        <xsd:union memberTypes="dms:Text">
          <xsd:simpleType>
            <xsd:restriction base="dms:Choice">
              <xsd:enumeration value="N/A"/>
              <xsd:enumeration value="In-house"/>
              <xsd:enumeration value="Caveon"/>
              <xsd:enumeration value="CMS"/>
            </xsd:restriction>
          </xsd:simpleType>
        </xsd:union>
      </xsd:simpleType>
    </xsd:element>
    <xsd:element name="Doc_x0020_Type" ma:index="16" nillable="true" ma:displayName="Doc Type" ma:internalName="Doc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Portfolio"/>
                        <xsd:enumeration value="Item"/>
                        <xsd:enumeration value="PA Template"/>
                        <xsd:enumeration value="Attachment"/>
                        <xsd:enumeration value="Approval"/>
                      </xsd:restriction>
                    </xsd:simpleType>
                  </xsd:union>
                </xsd:simpleType>
              </xsd:element>
            </xsd:sequence>
          </xsd:extension>
        </xsd:complexContent>
      </xsd:complexType>
    </xsd:element>
    <xsd:element name="Course_x0020_code" ma:index="17" nillable="true" ma:displayName="Course code" ma:indexed="true" ma:internalName="Course_x0020_code" ma:readOnly="false">
      <xsd:simpleType>
        <xsd:restriction base="dms:Text">
          <xsd:maxLength value="255"/>
        </xsd:restriction>
      </xsd:simpleType>
    </xsd:element>
    <xsd:element name="Discipline" ma:index="18" nillable="true" ma:displayName="Discipline" ma:indexed="true" ma:internalName="Discipline" ma:readOnly="false">
      <xsd:simpleType>
        <xsd:restriction base="dms:Text">
          <xsd:maxLength value="255"/>
        </xsd:restriction>
      </xsd:simpleType>
    </xsd:element>
    <xsd:element name="Course_x0020_number" ma:index="19" nillable="true" ma:displayName="Course number" ma:indexed="true" ma:internalName="Course_x0020_number" ma:readOnly="false">
      <xsd:simpleType>
        <xsd:restriction base="dms:Text">
          <xsd:maxLength value="255"/>
        </xsd:restriction>
      </xsd:simpleType>
    </xsd:element>
    <xsd:element name="Course_x0020_title" ma:index="20" nillable="true" ma:displayName="Course title" ma:description="The full name of the course." ma:indexed="true" ma:internalName="Course_x0020_title" ma:readOnly="false">
      <xsd:simpleType>
        <xsd:restriction base="dms:Text">
          <xsd:maxLength value="255"/>
        </xsd:restriction>
      </xsd:simpleType>
    </xsd:element>
    <xsd:element name="Course_x0020_short_x0020_name" ma:index="21" nillable="true" ma:displayName="Course short name" ma:indexed="true" ma:internalName="Course_x0020_short_x0020_name" ma:readOnly="false">
      <xsd:simpleType>
        <xsd:restriction base="dms:Text">
          <xsd:maxLength value="255"/>
        </xsd:restriction>
      </xsd:simpleType>
    </xsd:element>
    <xsd:element name="d5fh" ma:index="22" nillable="true" ma:displayName="Domain" ma:internalName="d5fh" ma:readOnly="false" ma:percentage="FALSE">
      <xsd:simpleType>
        <xsd:restriction base="dms:Number"/>
      </xsd:simpleType>
    </xsd:element>
    <xsd:element name="qrac" ma:index="23" nillable="true" ma:displayName="Domain" ma:internalName="qrac" ma:readOnly="false">
      <xsd:simpleType>
        <xsd:restriction base="dms:Text"/>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6" nillable="true" ma:displayName="MediaServiceAutoTags"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707338-ea0f-4fe5-baee-59b996692b2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ndor xmlns="0feec74c-ecc7-44c3-9c64-3623cf89ed41">N/A</Vendor>
    <_ip_UnifiedCompliancePolicyUIAction xmlns="http://schemas.microsoft.com/sharepoint/v3" xsi:nil="true"/>
    <Launch_x0020_Date xmlns="0feec74c-ecc7-44c3-9c64-3623cf89ed41" xsi:nil="true"/>
    <Discipline xmlns="0feec74c-ecc7-44c3-9c64-3623cf89ed41" xsi:nil="true"/>
    <Course_x0020_code xmlns="0feec74c-ecc7-44c3-9c64-3623cf89ed41" xsi:nil="true"/>
    <Performance_x0020_Steps_x0020_Completed xmlns="0feec74c-ecc7-44c3-9c64-3623cf89ed41">
      <Value>N/A</Value>
    </Performance_x0020_Steps_x0020_Completed>
    <Course_x0020_short_x0020_name xmlns="0feec74c-ecc7-44c3-9c64-3623cf89ed41" xsi:nil="true"/>
    <_ip_UnifiedCompliancePolicyProperties xmlns="http://schemas.microsoft.com/sharepoint/v3" xsi:nil="true"/>
    <Course_x0020_number xmlns="0feec74c-ecc7-44c3-9c64-3623cf89ed41" xsi:nil="true"/>
    <Course_x0020_title xmlns="0feec74c-ecc7-44c3-9c64-3623cf89ed41" xsi:nil="true"/>
    <d5fh xmlns="0feec74c-ecc7-44c3-9c64-3623cf89ed41" xsi:nil="true"/>
    <Step_x0020_Completed xmlns="0feec74c-ecc7-44c3-9c64-3623cf89ed41">
      <Value>N/A</Value>
    </Step_x0020_Completed>
    <Assessment_x0020_Type xmlns="0feec74c-ecc7-44c3-9c64-3623cf89ed41">
      <Value>Objective</Value>
    </Assessment_x0020_Type>
    <Publication_x0020_Date xmlns="0feec74c-ecc7-44c3-9c64-3623cf89ed41" xsi:nil="true"/>
    <SME xmlns="0feec74c-ecc7-44c3-9c64-3623cf89ed41" xsi:nil="true"/>
    <Editor0 xmlns="0feec74c-ecc7-44c3-9c64-3623cf89ed41">
      <UserInfo>
        <DisplayName/>
        <AccountId xsi:nil="true"/>
        <AccountType/>
      </UserInfo>
    </Editor0>
    <Doc_x0020_Type xmlns="0feec74c-ecc7-44c3-9c64-3623cf89ed41"/>
    <qrac xmlns="0feec74c-ecc7-44c3-9c64-3623cf89ed4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552677-A95B-4093-849B-B6AED615DA4B}">
  <ds:schemaRefs>
    <ds:schemaRef ds:uri="http://schemas.microsoft.com/sharepoint/v3/contenttype/forms"/>
  </ds:schemaRefs>
</ds:datastoreItem>
</file>

<file path=customXml/itemProps3.xml><?xml version="1.0" encoding="utf-8"?>
<ds:datastoreItem xmlns:ds="http://schemas.openxmlformats.org/officeDocument/2006/customXml" ds:itemID="{87802230-DAF3-4F89-B422-28D9C5624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eec74c-ecc7-44c3-9c64-3623cf89ed41"/>
    <ds:schemaRef ds:uri="1f707338-ea0f-4fe5-baee-59b996692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E4120-D6A2-4237-8072-707FB1C50E55}">
  <ds:schemaRefs>
    <ds:schemaRef ds:uri="http://schemas.microsoft.com/office/2006/metadata/properties"/>
    <ds:schemaRef ds:uri="http://schemas.microsoft.com/office/infopath/2007/PartnerControls"/>
    <ds:schemaRef ds:uri="0feec74c-ecc7-44c3-9c64-3623cf89ed4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Assessment Code: Task Title</vt:lpstr>
    </vt:vector>
  </TitlesOfParts>
  <Company>Western Governors University</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Code: Task Title</dc:title>
  <dc:subject/>
  <dc:creator>Mary Coleman</dc:creator>
  <cp:keywords/>
  <dc:description/>
  <cp:lastModifiedBy>Jolene Scharp</cp:lastModifiedBy>
  <cp:revision>3</cp:revision>
  <dcterms:created xsi:type="dcterms:W3CDTF">2020-10-30T18:08:00Z</dcterms:created>
  <dcterms:modified xsi:type="dcterms:W3CDTF">2020-10-30T18:09:00Z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0x010100C39F2A75005F2D43B30369DAED2CCB1C</vt:lpwstr>
  </property>
</Properties>
</file>